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44" w:rsidRPr="003C0E86" w:rsidRDefault="00DB5044" w:rsidP="00D25223">
      <w:pPr>
        <w:spacing w:after="120" w:line="240" w:lineRule="auto"/>
        <w:jc w:val="center"/>
        <w:rPr>
          <w:b/>
          <w:sz w:val="20"/>
          <w:u w:val="none"/>
        </w:rPr>
      </w:pPr>
      <w:r w:rsidRPr="003C0E86">
        <w:rPr>
          <w:b/>
          <w:sz w:val="20"/>
          <w:u w:val="none"/>
        </w:rPr>
        <w:t xml:space="preserve">Информация о налогообложении доходов акционеров </w:t>
      </w:r>
      <w:r w:rsidR="00D25223" w:rsidRPr="003C0E86">
        <w:rPr>
          <w:b/>
          <w:sz w:val="20"/>
          <w:u w:val="none"/>
        </w:rPr>
        <w:t xml:space="preserve">                                     </w:t>
      </w:r>
      <w:r w:rsidR="00700FA1" w:rsidRPr="003C0E86">
        <w:rPr>
          <w:b/>
          <w:sz w:val="20"/>
          <w:u w:val="none"/>
        </w:rPr>
        <w:t xml:space="preserve">                   </w:t>
      </w:r>
      <w:r w:rsidR="00D25223" w:rsidRPr="003C0E86">
        <w:rPr>
          <w:b/>
          <w:sz w:val="20"/>
          <w:u w:val="none"/>
        </w:rPr>
        <w:t xml:space="preserve">                                                   </w:t>
      </w:r>
      <w:r w:rsidRPr="003C0E86">
        <w:rPr>
          <w:b/>
          <w:sz w:val="20"/>
          <w:u w:val="none"/>
        </w:rPr>
        <w:t xml:space="preserve">в связи с выкупом акций </w:t>
      </w:r>
      <w:r w:rsidR="003944FD" w:rsidRPr="003944FD">
        <w:rPr>
          <w:b/>
          <w:sz w:val="20"/>
          <w:u w:val="none"/>
        </w:rPr>
        <w:t>ПАО «</w:t>
      </w:r>
      <w:proofErr w:type="spellStart"/>
      <w:r w:rsidR="003944FD" w:rsidRPr="003944FD">
        <w:rPr>
          <w:b/>
          <w:sz w:val="20"/>
          <w:u w:val="none"/>
        </w:rPr>
        <w:t>ЭсЭфАй</w:t>
      </w:r>
      <w:proofErr w:type="spellEnd"/>
      <w:r w:rsidR="003944FD" w:rsidRPr="003944FD">
        <w:rPr>
          <w:b/>
          <w:sz w:val="20"/>
          <w:u w:val="none"/>
        </w:rPr>
        <w:t>»</w:t>
      </w:r>
    </w:p>
    <w:p w:rsidR="00AC4F15" w:rsidRPr="00993873" w:rsidRDefault="00AC4F15" w:rsidP="00AC4F15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С 1 января 2020 года </w:t>
      </w:r>
      <w:r w:rsidR="0022510B" w:rsidRPr="00993873">
        <w:rPr>
          <w:sz w:val="20"/>
          <w:u w:val="none"/>
        </w:rPr>
        <w:t xml:space="preserve">российские </w:t>
      </w:r>
      <w:r w:rsidRPr="00993873">
        <w:rPr>
          <w:sz w:val="20"/>
          <w:u w:val="none"/>
        </w:rPr>
        <w:t>организации</w:t>
      </w:r>
      <w:r w:rsidR="008A1B4C" w:rsidRPr="00993873">
        <w:rPr>
          <w:sz w:val="20"/>
          <w:u w:val="none"/>
        </w:rPr>
        <w:t>, которые выкупают акции</w:t>
      </w:r>
      <w:r w:rsidRPr="00993873">
        <w:rPr>
          <w:sz w:val="20"/>
          <w:u w:val="none"/>
        </w:rPr>
        <w:t>, признаются налоговыми агентами по НДФЛ при выплате доходов по операциям с ценными бумагами (</w:t>
      </w:r>
      <w:hyperlink r:id="rId5" w:anchor="/document/99/901765862/ZA01U443DO/" w:tooltip="[#685] Статья 214.1. Особенности определения налоговой базы, исчисления и уплаты налога на доходы по операциям с ценными бумагами и по операциям с производными финансовыми инструментами" w:history="1">
        <w:r w:rsidRPr="00993873">
          <w:rPr>
            <w:rStyle w:val="a3"/>
            <w:rFonts w:eastAsia="Times New Roman"/>
            <w:iCs/>
            <w:color w:val="auto"/>
            <w:sz w:val="20"/>
            <w:u w:val="none"/>
          </w:rPr>
          <w:t>ст. 214.1</w:t>
        </w:r>
      </w:hyperlink>
      <w:r w:rsidRPr="00993873">
        <w:rPr>
          <w:rFonts w:eastAsia="Times New Roman"/>
          <w:iCs/>
          <w:sz w:val="20"/>
          <w:u w:val="none"/>
        </w:rPr>
        <w:t xml:space="preserve">, </w:t>
      </w:r>
      <w:hyperlink r:id="rId6" w:anchor="/document/99/901765862/ZAP21JS3EQ/" w:tooltip="[#686] 1. Российские организации, индивидуальные предприниматели, нотариусы, занимающиеся частной практикой, адвокаты, учредившие адвокатские кабинеты, а также постоянные представительства..." w:history="1">
        <w:r w:rsidRPr="00993873">
          <w:rPr>
            <w:rStyle w:val="a3"/>
            <w:color w:val="auto"/>
            <w:sz w:val="20"/>
            <w:u w:val="none"/>
          </w:rPr>
          <w:t>п. 1 ст. 226 НК</w:t>
        </w:r>
      </w:hyperlink>
      <w:r w:rsidRPr="00993873">
        <w:rPr>
          <w:rStyle w:val="a3"/>
          <w:color w:val="auto"/>
          <w:sz w:val="20"/>
          <w:u w:val="none"/>
        </w:rPr>
        <w:t xml:space="preserve"> РФ</w:t>
      </w:r>
      <w:r w:rsidRPr="00993873">
        <w:rPr>
          <w:sz w:val="20"/>
          <w:u w:val="none"/>
        </w:rPr>
        <w:t xml:space="preserve">) </w:t>
      </w:r>
      <w:r w:rsidRPr="00993873">
        <w:rPr>
          <w:rFonts w:eastAsia="Times New Roman"/>
          <w:iCs/>
          <w:sz w:val="20"/>
          <w:u w:val="none"/>
        </w:rPr>
        <w:t>и при фактической выплате им дене</w:t>
      </w:r>
      <w:r w:rsidR="004F2BBF" w:rsidRPr="00993873">
        <w:rPr>
          <w:rFonts w:eastAsia="Times New Roman"/>
          <w:iCs/>
          <w:sz w:val="20"/>
          <w:u w:val="none"/>
        </w:rPr>
        <w:t>жных средств</w:t>
      </w:r>
      <w:r w:rsidRPr="00993873">
        <w:rPr>
          <w:rFonts w:eastAsia="Times New Roman"/>
          <w:iCs/>
          <w:sz w:val="20"/>
          <w:u w:val="none"/>
        </w:rPr>
        <w:t> обязано удержать налог, в том числе</w:t>
      </w:r>
      <w:r w:rsidRPr="00993873">
        <w:rPr>
          <w:sz w:val="20"/>
          <w:u w:val="none"/>
        </w:rPr>
        <w:t xml:space="preserve"> через номинального держателя  (</w:t>
      </w:r>
      <w:hyperlink r:id="rId7" w:anchor="/document/99/564192213/" w:tooltip="[#771] " w:history="1">
        <w:r w:rsidRPr="00993873">
          <w:rPr>
            <w:rStyle w:val="a3"/>
            <w:color w:val="auto"/>
            <w:sz w:val="20"/>
            <w:u w:val="none"/>
          </w:rPr>
          <w:t>письмо ФНС от 17.01.2020 № БС-4-11/561</w:t>
        </w:r>
      </w:hyperlink>
      <w:r w:rsidRPr="00993873">
        <w:rPr>
          <w:sz w:val="20"/>
          <w:u w:val="none"/>
        </w:rPr>
        <w:t xml:space="preserve">). </w:t>
      </w:r>
    </w:p>
    <w:p w:rsidR="00DB5044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3944FD">
        <w:rPr>
          <w:sz w:val="20"/>
          <w:u w:val="none"/>
        </w:rPr>
        <w:t xml:space="preserve">Таким образом, </w:t>
      </w:r>
      <w:r w:rsidR="003944FD" w:rsidRPr="003944FD">
        <w:rPr>
          <w:sz w:val="20"/>
          <w:u w:val="none"/>
        </w:rPr>
        <w:t>ПАО «</w:t>
      </w:r>
      <w:proofErr w:type="spellStart"/>
      <w:r w:rsidR="003944FD" w:rsidRPr="003944FD">
        <w:rPr>
          <w:sz w:val="20"/>
          <w:u w:val="none"/>
        </w:rPr>
        <w:t>ЭсЭфАй</w:t>
      </w:r>
      <w:proofErr w:type="spellEnd"/>
      <w:r w:rsidR="003944FD" w:rsidRPr="003944FD">
        <w:rPr>
          <w:sz w:val="20"/>
          <w:u w:val="none"/>
        </w:rPr>
        <w:t>»</w:t>
      </w:r>
      <w:r w:rsidRPr="003944FD">
        <w:rPr>
          <w:sz w:val="20"/>
          <w:u w:val="none"/>
        </w:rPr>
        <w:t xml:space="preserve"> при выплате денежных средств физическим лицам в связи с выкупом</w:t>
      </w:r>
      <w:r w:rsidRPr="00993873">
        <w:rPr>
          <w:sz w:val="20"/>
          <w:u w:val="none"/>
        </w:rPr>
        <w:t xml:space="preserve"> Обществом акций в соответствии со ст. </w:t>
      </w:r>
      <w:r w:rsidR="00CD30FE">
        <w:rPr>
          <w:sz w:val="20"/>
          <w:u w:val="none"/>
        </w:rPr>
        <w:t>75, 76</w:t>
      </w:r>
      <w:r w:rsidRPr="00993873">
        <w:rPr>
          <w:sz w:val="20"/>
          <w:u w:val="none"/>
        </w:rPr>
        <w:t xml:space="preserve"> Федерального закона от 26.12.1995 N 208-ФЗ «Об акционерных обществах» будет обязано исчислить и удержать налог на доходы физических лиц</w:t>
      </w:r>
      <w:r w:rsidR="00D25223" w:rsidRPr="00993873">
        <w:rPr>
          <w:sz w:val="20"/>
          <w:u w:val="none"/>
        </w:rPr>
        <w:t xml:space="preserve"> (НДФЛ)</w:t>
      </w:r>
      <w:r w:rsidRPr="00993873">
        <w:rPr>
          <w:sz w:val="20"/>
          <w:u w:val="none"/>
        </w:rPr>
        <w:t xml:space="preserve">. </w:t>
      </w:r>
    </w:p>
    <w:p w:rsidR="005C0A50" w:rsidRPr="006743FC" w:rsidRDefault="005C0A50" w:rsidP="00CA39E1">
      <w:pPr>
        <w:spacing w:after="120" w:line="240" w:lineRule="auto"/>
        <w:ind w:firstLine="709"/>
        <w:jc w:val="center"/>
        <w:rPr>
          <w:rFonts w:eastAsia="Arial"/>
          <w:b/>
          <w:sz w:val="20"/>
          <w:u w:val="none"/>
        </w:rPr>
      </w:pPr>
      <w:r w:rsidRPr="006743FC">
        <w:rPr>
          <w:rFonts w:eastAsia="Arial"/>
          <w:b/>
          <w:sz w:val="20"/>
          <w:u w:val="none"/>
        </w:rPr>
        <w:t>Налоговые ставки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39E1" w:rsidRPr="00993873" w:rsidTr="00CA39E1">
        <w:tc>
          <w:tcPr>
            <w:tcW w:w="4785" w:type="dxa"/>
          </w:tcPr>
          <w:p w:rsidR="00CA39E1" w:rsidRPr="006743FC" w:rsidRDefault="00CA39E1" w:rsidP="00CA39E1">
            <w:pPr>
              <w:spacing w:after="120"/>
              <w:jc w:val="center"/>
              <w:rPr>
                <w:rFonts w:eastAsia="Arial"/>
                <w:b/>
                <w:sz w:val="20"/>
                <w:u w:val="none"/>
              </w:rPr>
            </w:pPr>
            <w:r w:rsidRPr="006743FC">
              <w:rPr>
                <w:rFonts w:eastAsia="Arial"/>
                <w:b/>
                <w:sz w:val="20"/>
                <w:u w:val="none"/>
              </w:rPr>
              <w:t>13</w:t>
            </w:r>
            <w:r w:rsidR="0086584A" w:rsidRPr="006743FC">
              <w:rPr>
                <w:rFonts w:eastAsia="Arial"/>
                <w:b/>
                <w:sz w:val="20"/>
                <w:u w:val="none"/>
              </w:rPr>
              <w:t xml:space="preserve"> (15)</w:t>
            </w:r>
            <w:r w:rsidRPr="006743FC">
              <w:rPr>
                <w:rFonts w:eastAsia="Arial"/>
                <w:b/>
                <w:sz w:val="20"/>
                <w:u w:val="none"/>
              </w:rPr>
              <w:t>%</w:t>
            </w:r>
          </w:p>
        </w:tc>
        <w:tc>
          <w:tcPr>
            <w:tcW w:w="4786" w:type="dxa"/>
          </w:tcPr>
          <w:p w:rsidR="00CA39E1" w:rsidRPr="006743FC" w:rsidRDefault="00CA39E1" w:rsidP="00CA39E1">
            <w:pPr>
              <w:spacing w:after="120"/>
              <w:jc w:val="center"/>
              <w:rPr>
                <w:rFonts w:eastAsia="Arial"/>
                <w:b/>
                <w:sz w:val="20"/>
                <w:u w:val="none"/>
              </w:rPr>
            </w:pPr>
            <w:r w:rsidRPr="006743FC">
              <w:rPr>
                <w:rFonts w:eastAsia="Arial"/>
                <w:b/>
                <w:sz w:val="20"/>
                <w:u w:val="none"/>
              </w:rPr>
              <w:t>30%</w:t>
            </w:r>
          </w:p>
        </w:tc>
      </w:tr>
      <w:tr w:rsidR="00CA39E1" w:rsidRPr="00993873" w:rsidTr="00CA39E1">
        <w:tc>
          <w:tcPr>
            <w:tcW w:w="4785" w:type="dxa"/>
          </w:tcPr>
          <w:p w:rsidR="00CA39E1" w:rsidRPr="00993873" w:rsidRDefault="00CA39E1" w:rsidP="00CA39E1">
            <w:pPr>
              <w:spacing w:after="120"/>
              <w:jc w:val="center"/>
              <w:rPr>
                <w:rFonts w:eastAsia="Arial"/>
                <w:sz w:val="20"/>
                <w:u w:val="none"/>
              </w:rPr>
            </w:pPr>
            <w:r w:rsidRPr="00993873">
              <w:rPr>
                <w:rFonts w:eastAsia="Arial"/>
                <w:sz w:val="20"/>
                <w:u w:val="none"/>
              </w:rPr>
              <w:t>Доходы физических лиц – налоговых резидентов РФ, полученные от реализации в РФ ценных бумаг</w:t>
            </w:r>
          </w:p>
        </w:tc>
        <w:tc>
          <w:tcPr>
            <w:tcW w:w="4786" w:type="dxa"/>
          </w:tcPr>
          <w:p w:rsidR="00CA39E1" w:rsidRPr="00993873" w:rsidRDefault="00CA39E1" w:rsidP="00CA39E1">
            <w:pPr>
              <w:spacing w:after="120"/>
              <w:jc w:val="center"/>
              <w:rPr>
                <w:rFonts w:eastAsia="Arial"/>
                <w:sz w:val="20"/>
                <w:u w:val="none"/>
              </w:rPr>
            </w:pPr>
            <w:r w:rsidRPr="00993873">
              <w:rPr>
                <w:rFonts w:eastAsia="Arial"/>
                <w:sz w:val="20"/>
                <w:u w:val="none"/>
              </w:rPr>
              <w:t>Доходы физических лиц, не являющихся налоговыми резидентами РФ, полученные от реализации в РФ ценных бумаг</w:t>
            </w:r>
          </w:p>
        </w:tc>
      </w:tr>
    </w:tbl>
    <w:p w:rsidR="00BF42A7" w:rsidRPr="00993873" w:rsidRDefault="00BF42A7" w:rsidP="00A3776B">
      <w:pPr>
        <w:spacing w:after="0" w:line="240" w:lineRule="auto"/>
        <w:ind w:firstLine="709"/>
        <w:jc w:val="both"/>
        <w:rPr>
          <w:rFonts w:eastAsia="Times New Roman"/>
          <w:b/>
          <w:sz w:val="20"/>
          <w:u w:val="none"/>
          <w:lang w:eastAsia="ru-RU"/>
        </w:rPr>
      </w:pPr>
      <w:r w:rsidRPr="00993873">
        <w:rPr>
          <w:rFonts w:eastAsia="Times New Roman"/>
          <w:sz w:val="20"/>
          <w:u w:val="none"/>
          <w:lang w:eastAsia="ru-RU"/>
        </w:rPr>
        <w:t xml:space="preserve">Налоговым резидентом на основании п.2 ст.207 НК РФ считается </w:t>
      </w:r>
      <w:r w:rsidR="00CA39E1" w:rsidRPr="00993873">
        <w:rPr>
          <w:rFonts w:eastAsia="Times New Roman"/>
          <w:sz w:val="20"/>
          <w:u w:val="none"/>
          <w:lang w:eastAsia="ru-RU"/>
        </w:rPr>
        <w:t>физическое лицо</w:t>
      </w:r>
      <w:r w:rsidRPr="00993873">
        <w:rPr>
          <w:rFonts w:eastAsia="Times New Roman"/>
          <w:sz w:val="20"/>
          <w:u w:val="none"/>
          <w:lang w:eastAsia="ru-RU"/>
        </w:rPr>
        <w:t>, котор</w:t>
      </w:r>
      <w:r w:rsidR="00CA39E1" w:rsidRPr="00993873">
        <w:rPr>
          <w:rFonts w:eastAsia="Times New Roman"/>
          <w:sz w:val="20"/>
          <w:u w:val="none"/>
          <w:lang w:eastAsia="ru-RU"/>
        </w:rPr>
        <w:t>ое</w:t>
      </w:r>
      <w:r w:rsidRPr="00993873">
        <w:rPr>
          <w:rFonts w:eastAsia="Times New Roman"/>
          <w:sz w:val="20"/>
          <w:u w:val="none"/>
          <w:lang w:eastAsia="ru-RU"/>
        </w:rPr>
        <w:t xml:space="preserve"> в течение 12 месяцев, следующих подряд, фактически находится на территории России 183 календарных дня и более. </w:t>
      </w:r>
      <w:r w:rsidR="00CA39E1" w:rsidRPr="00993873">
        <w:rPr>
          <w:rFonts w:eastAsia="Times New Roman"/>
          <w:iCs/>
          <w:sz w:val="20"/>
          <w:u w:val="none"/>
        </w:rPr>
        <w:t>Период, за который определяется количество дней пребывания в России, равен 12 месяцам, следующим подряд, независимо от того, к одному календарному году эти месяцы относятся или к разным (письма Минфина </w:t>
      </w:r>
      <w:hyperlink r:id="rId8" w:anchor="/document/99/456016823/" w:tooltip="[#6] " w:history="1">
        <w:r w:rsidR="00CA39E1" w:rsidRPr="00993873">
          <w:rPr>
            <w:rFonts w:eastAsia="Times New Roman"/>
            <w:iCs/>
            <w:sz w:val="20"/>
            <w:u w:val="none"/>
          </w:rPr>
          <w:t>от 01.09.2016 № 03-04-05/51258</w:t>
        </w:r>
      </w:hyperlink>
      <w:r w:rsidR="00CA39E1" w:rsidRPr="00993873">
        <w:rPr>
          <w:rFonts w:eastAsia="Times New Roman"/>
          <w:iCs/>
          <w:sz w:val="20"/>
          <w:u w:val="none"/>
        </w:rPr>
        <w:t>, </w:t>
      </w:r>
      <w:hyperlink r:id="rId9" w:anchor="/document/99/902347323/" w:tooltip="[#8] " w:history="1">
        <w:r w:rsidR="00CA39E1" w:rsidRPr="00993873">
          <w:rPr>
            <w:rFonts w:eastAsia="Times New Roman"/>
            <w:iCs/>
            <w:sz w:val="20"/>
            <w:u w:val="none"/>
          </w:rPr>
          <w:t>от 26.04.2012 № 03-04-06/6-123</w:t>
        </w:r>
      </w:hyperlink>
      <w:r w:rsidR="00CA39E1" w:rsidRPr="00993873">
        <w:rPr>
          <w:rFonts w:eastAsia="Times New Roman"/>
          <w:iCs/>
          <w:sz w:val="20"/>
          <w:u w:val="none"/>
        </w:rPr>
        <w:t xml:space="preserve">).  </w:t>
      </w:r>
      <w:r w:rsidR="00CA39E1" w:rsidRPr="00993873">
        <w:rPr>
          <w:rFonts w:eastAsia="Times New Roman"/>
          <w:sz w:val="20"/>
          <w:u w:val="none"/>
        </w:rPr>
        <w:t>Поскольку в течение года налоговый статус физического лица может измениться, то контролировать фактическую продолжительность пребывания в России необходимо по состоянию на дату получения дохода (</w:t>
      </w:r>
      <w:hyperlink r:id="rId10" w:anchor="/document/99/901765862/ZAP2GKQ3KL/" w:tooltip="[#32] Статья 223. Дата фактического получения дохода" w:history="1">
        <w:r w:rsidR="00CA39E1" w:rsidRPr="00993873">
          <w:rPr>
            <w:rStyle w:val="a3"/>
            <w:rFonts w:eastAsia="Times New Roman"/>
            <w:color w:val="auto"/>
            <w:sz w:val="20"/>
            <w:u w:val="none"/>
          </w:rPr>
          <w:t>ст. 223 НК</w:t>
        </w:r>
      </w:hyperlink>
      <w:r w:rsidR="00CA39E1" w:rsidRPr="00993873">
        <w:rPr>
          <w:rFonts w:eastAsia="Times New Roman"/>
          <w:sz w:val="20"/>
          <w:u w:val="none"/>
        </w:rPr>
        <w:t>).</w:t>
      </w:r>
    </w:p>
    <w:p w:rsidR="00BF42A7" w:rsidRPr="00993873" w:rsidRDefault="00A3776B" w:rsidP="00BF42A7">
      <w:pPr>
        <w:spacing w:after="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Для подтверждения </w:t>
      </w:r>
      <w:r w:rsidR="00CA39E1" w:rsidRPr="00993873">
        <w:rPr>
          <w:sz w:val="20"/>
          <w:u w:val="none"/>
        </w:rPr>
        <w:t xml:space="preserve">статуса </w:t>
      </w:r>
      <w:r w:rsidRPr="00993873">
        <w:rPr>
          <w:sz w:val="20"/>
          <w:u w:val="none"/>
        </w:rPr>
        <w:t>налогового резидента РФ</w:t>
      </w:r>
      <w:r w:rsidR="00BF42A7" w:rsidRPr="00993873">
        <w:rPr>
          <w:sz w:val="20"/>
          <w:u w:val="none"/>
        </w:rPr>
        <w:t xml:space="preserve"> необходимо представить копии заграничных паспортов с отметками российской пограничной службы о пересечении границы РФ в течение 12 календарных месяцев подряд до даты </w:t>
      </w:r>
      <w:r w:rsidR="00CA39E1" w:rsidRPr="00993873">
        <w:rPr>
          <w:sz w:val="20"/>
          <w:u w:val="none"/>
        </w:rPr>
        <w:t>получения</w:t>
      </w:r>
      <w:r w:rsidR="00BF42A7" w:rsidRPr="00993873">
        <w:rPr>
          <w:sz w:val="20"/>
          <w:u w:val="none"/>
        </w:rPr>
        <w:t xml:space="preserve"> дохода.</w:t>
      </w:r>
    </w:p>
    <w:p w:rsidR="005C0A50" w:rsidRPr="00993873" w:rsidRDefault="005C0A50" w:rsidP="00D2522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eastAsia="Arial"/>
          <w:b/>
          <w:sz w:val="20"/>
          <w:u w:val="none"/>
        </w:rPr>
      </w:pPr>
      <w:r w:rsidRPr="00993873">
        <w:rPr>
          <w:sz w:val="20"/>
          <w:u w:val="none"/>
        </w:rPr>
        <w:t xml:space="preserve">Физическое лицо, </w:t>
      </w:r>
      <w:r w:rsidRPr="00993873">
        <w:rPr>
          <w:rFonts w:eastAsia="Arial"/>
          <w:sz w:val="20"/>
          <w:u w:val="none"/>
        </w:rPr>
        <w:t xml:space="preserve">адрес регистрации которого не является территорией Российской Федерации или данные о месте регистрации акционера по лицевому счету в реестре отсутствуют, указаны не полностью или не предоставлены номинальным держателем, в целях составления списка лиц, осуществляющих права по ценным бумагам, что не позволяет однозначно определить принадлежность адреса регистрации к территории Российской Федерации, обязано представить документ, подтверждающий статус налогового резидента РФ. (Приказ ФНС России </w:t>
      </w:r>
      <w:hyperlink r:id="rId11" w:history="1">
        <w:r w:rsidRPr="00993873">
          <w:rPr>
            <w:rFonts w:eastAsia="Times New Roman"/>
            <w:sz w:val="20"/>
            <w:u w:val="none"/>
            <w:lang w:eastAsia="ru-RU"/>
          </w:rPr>
          <w:t>от 07.11.2017 № ММВ-7-17/837@</w:t>
        </w:r>
      </w:hyperlink>
      <w:r w:rsidRPr="00993873">
        <w:rPr>
          <w:rFonts w:eastAsia="Times New Roman"/>
          <w:sz w:val="20"/>
          <w:u w:val="none"/>
          <w:lang w:eastAsia="ru-RU"/>
        </w:rPr>
        <w:t>)</w:t>
      </w:r>
    </w:p>
    <w:p w:rsidR="00F6452F" w:rsidRPr="006743FC" w:rsidRDefault="00CA39E1" w:rsidP="00CA39E1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6743FC">
        <w:rPr>
          <w:b/>
          <w:sz w:val="20"/>
          <w:u w:val="none"/>
        </w:rPr>
        <w:t>Налоговые льготы и налоговые вычеты</w:t>
      </w:r>
    </w:p>
    <w:p w:rsidR="00090394" w:rsidRPr="00993873" w:rsidRDefault="00090394" w:rsidP="00D25223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3873">
        <w:rPr>
          <w:rFonts w:ascii="Times New Roman" w:hAnsi="Times New Roman" w:cs="Times New Roman"/>
          <w:sz w:val="20"/>
          <w:szCs w:val="20"/>
        </w:rPr>
        <w:t>НК РФ предусмотрено ряд налоговых льгот и налоговых вычетов, предоставляемых физическим лицам при получении дохода от операций по реализации или иного выбытия (в том числе погашения) акций российских организаций</w:t>
      </w:r>
      <w:r w:rsidR="005F4F12" w:rsidRPr="00993873">
        <w:rPr>
          <w:rFonts w:ascii="Times New Roman" w:hAnsi="Times New Roman" w:cs="Times New Roman"/>
          <w:sz w:val="20"/>
          <w:szCs w:val="20"/>
        </w:rPr>
        <w:t>, которые могут быть использованы для уменьшения налогооблагаемой базы по НДФЛ.</w:t>
      </w:r>
    </w:p>
    <w:p w:rsidR="00FC190B" w:rsidRPr="00993873" w:rsidRDefault="00FC190B" w:rsidP="00FC190B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FC190B" w:rsidRPr="00993873" w:rsidRDefault="00FC190B" w:rsidP="00FC190B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993873">
        <w:rPr>
          <w:rFonts w:ascii="Times New Roman" w:hAnsi="Times New Roman" w:cs="Times New Roman"/>
          <w:sz w:val="20"/>
          <w:szCs w:val="20"/>
        </w:rPr>
        <w:t>Налоговые льготы</w:t>
      </w:r>
    </w:p>
    <w:p w:rsidR="00FC190B" w:rsidRPr="00993873" w:rsidRDefault="00FC190B" w:rsidP="00FC190B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Налоговая льгота для акционеров, владевших акциями на праве собственности более пяти лет </w:t>
      </w:r>
    </w:p>
    <w:p w:rsidR="00FC190B" w:rsidRPr="00993873" w:rsidRDefault="00FC190B" w:rsidP="00FC190B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3873">
        <w:rPr>
          <w:rFonts w:ascii="Times New Roman" w:hAnsi="Times New Roman" w:cs="Times New Roman"/>
          <w:sz w:val="20"/>
          <w:szCs w:val="20"/>
        </w:rPr>
        <w:t>Налоговый кодекс РФ предусматривает освобождение от обложения НДФЛ дохода, полученного физическими лицами от реализации акций российских и иностранных организаций.</w:t>
      </w:r>
    </w:p>
    <w:p w:rsidR="00FC190B" w:rsidRPr="00993873" w:rsidRDefault="00FC190B" w:rsidP="00FC190B">
      <w:pPr>
        <w:spacing w:after="120" w:line="240" w:lineRule="auto"/>
        <w:ind w:firstLine="709"/>
        <w:jc w:val="both"/>
        <w:rPr>
          <w:rFonts w:eastAsia="Times New Roman"/>
          <w:b/>
          <w:sz w:val="20"/>
          <w:u w:val="none"/>
          <w:lang w:eastAsia="ru-RU"/>
        </w:rPr>
      </w:pPr>
      <w:r w:rsidRPr="00993873">
        <w:rPr>
          <w:rFonts w:eastAsia="Times New Roman"/>
          <w:sz w:val="20"/>
          <w:u w:val="none"/>
          <w:lang w:eastAsia="ru-RU"/>
        </w:rPr>
        <w:t>С 2021 года для акций, которые не относятся к высокотехнологичному сектору, действует ставка 0 процентов, если одновременно выполнено два условия. Первое — срок владения акциями или долями более пяти лет. Второе — не более 50 процентов активов компании прямо или косвенно состоят из недвижимости на территории РФ. Акции могут быть как обращающимися, так и необращающимися</w:t>
      </w:r>
      <w:r w:rsidR="00A14D47" w:rsidRPr="00993873">
        <w:rPr>
          <w:rFonts w:eastAsia="Times New Roman"/>
          <w:sz w:val="20"/>
          <w:u w:val="none"/>
          <w:lang w:eastAsia="ru-RU"/>
        </w:rPr>
        <w:t>.</w:t>
      </w:r>
    </w:p>
    <w:p w:rsidR="00A14D47" w:rsidRPr="00993873" w:rsidRDefault="00A14D47" w:rsidP="00FC190B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>При этом даже при соблюдении пятилетнего срока указанные доходы налоговых резидентов РФ облагаются НДФЛ в части, превышающей 50 млн руб.</w:t>
      </w:r>
    </w:p>
    <w:p w:rsidR="00FC190B" w:rsidRPr="00993873" w:rsidRDefault="00FC190B" w:rsidP="00FC190B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Для применения данной льготы физическому лицу необходимо предоставить в АО «Сервис-Реестр» документы, подтверждающие факт владения акциями более пяти лет. Такими документами могут быть, (например, журнал/отчет/справка об операциях). </w:t>
      </w:r>
    </w:p>
    <w:p w:rsidR="0081618C" w:rsidRPr="00993873" w:rsidRDefault="0081618C" w:rsidP="0081618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993873">
        <w:rPr>
          <w:rFonts w:ascii="Times New Roman" w:hAnsi="Times New Roman" w:cs="Times New Roman"/>
          <w:sz w:val="20"/>
          <w:szCs w:val="20"/>
        </w:rPr>
        <w:t>Налоговые вычеты</w:t>
      </w:r>
    </w:p>
    <w:p w:rsidR="00090394" w:rsidRPr="00993873" w:rsidRDefault="00090394" w:rsidP="00D25223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93873">
        <w:rPr>
          <w:rFonts w:ascii="Times New Roman" w:hAnsi="Times New Roman" w:cs="Times New Roman"/>
          <w:sz w:val="20"/>
          <w:szCs w:val="20"/>
        </w:rPr>
        <w:t>Расходы, уменьшающие доходы</w:t>
      </w:r>
    </w:p>
    <w:p w:rsidR="00090394" w:rsidRPr="00993873" w:rsidRDefault="00090394" w:rsidP="00D25223">
      <w:pPr>
        <w:spacing w:after="120" w:line="240" w:lineRule="auto"/>
        <w:ind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 xml:space="preserve">Доходы от продажи ценных бумаг можно уменьшить на </w:t>
      </w:r>
      <w:r w:rsidR="00166C09" w:rsidRPr="00993873">
        <w:rPr>
          <w:rFonts w:eastAsia="Times New Roman"/>
          <w:sz w:val="20"/>
          <w:u w:val="none"/>
        </w:rPr>
        <w:t xml:space="preserve">фактически произведенные и документально подтвержденные </w:t>
      </w:r>
      <w:r w:rsidRPr="00993873">
        <w:rPr>
          <w:rFonts w:eastAsia="Times New Roman"/>
          <w:sz w:val="20"/>
          <w:u w:val="none"/>
        </w:rPr>
        <w:t>расходы по их приобретению, реализации и хранению (</w:t>
      </w:r>
      <w:hyperlink r:id="rId12" w:anchor="/document/99/901765862/ZA02GIM3IO/" w:tooltip="[#62] 12. В целях настоящей статьи финансовый результат по операциям с ценными бумагами и по операциям с финансовыми инструментами срочных сделок определяется как доходы от операций за..." w:history="1">
        <w:r w:rsidRPr="00993873">
          <w:rPr>
            <w:rFonts w:eastAsia="Times New Roman"/>
            <w:sz w:val="20"/>
            <w:u w:val="none"/>
          </w:rPr>
          <w:t>п. 12 ст. 214.1 НК</w:t>
        </w:r>
      </w:hyperlink>
      <w:r w:rsidRPr="00993873">
        <w:rPr>
          <w:rFonts w:eastAsia="Times New Roman"/>
          <w:sz w:val="20"/>
          <w:u w:val="none"/>
        </w:rPr>
        <w:t>).</w:t>
      </w:r>
    </w:p>
    <w:p w:rsidR="00090394" w:rsidRPr="00993873" w:rsidRDefault="00090394" w:rsidP="00D25223">
      <w:pPr>
        <w:spacing w:after="120" w:line="240" w:lineRule="auto"/>
        <w:ind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>К расходам по приобретению, реализации, погашению и хранению ценных бумаг, в частности, относятся:</w:t>
      </w:r>
    </w:p>
    <w:p w:rsidR="00090394" w:rsidRPr="00993873" w:rsidRDefault="00090394" w:rsidP="00D252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 xml:space="preserve">суммы, заплаченные при приобретении ценных бумаг. В случае если физическое лицо их не покупало, а получило их в результате преобразования ООО в акционерное, то тогда стоимость акций будет равна </w:t>
      </w:r>
      <w:r w:rsidRPr="00993873">
        <w:rPr>
          <w:rFonts w:eastAsia="Times New Roman"/>
          <w:sz w:val="20"/>
          <w:u w:val="none"/>
        </w:rPr>
        <w:lastRenderedPageBreak/>
        <w:t>цене вложенного имущества, которую физическое лицо заплатило при его приобретении (</w:t>
      </w:r>
      <w:hyperlink r:id="rId13" w:anchor="/document/99/420250049/" w:tooltip="[#64] " w:history="1">
        <w:r w:rsidRPr="00993873">
          <w:rPr>
            <w:rFonts w:eastAsia="Times New Roman"/>
            <w:sz w:val="20"/>
            <w:u w:val="none"/>
          </w:rPr>
          <w:t>письмо Минфина от 20.01.2015 № 03-04-05/1345</w:t>
        </w:r>
      </w:hyperlink>
      <w:r w:rsidRPr="00993873">
        <w:rPr>
          <w:rFonts w:eastAsia="Times New Roman"/>
          <w:sz w:val="20"/>
          <w:u w:val="none"/>
        </w:rPr>
        <w:t>);</w:t>
      </w:r>
    </w:p>
    <w:p w:rsidR="00090394" w:rsidRPr="00993873" w:rsidRDefault="00090394" w:rsidP="00D252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>оплата услуг депозитария, брокеров, регистратора и других профессиональных участников рынка ценных бумаг;</w:t>
      </w:r>
    </w:p>
    <w:p w:rsidR="00090394" w:rsidRPr="00993873" w:rsidRDefault="00090394" w:rsidP="00D252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>суммы биржевого сбора (комиссия);</w:t>
      </w:r>
    </w:p>
    <w:p w:rsidR="00090394" w:rsidRPr="00993873" w:rsidRDefault="00090394" w:rsidP="00D252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 xml:space="preserve">суммы процентов по заемным средствам, использованным на приобретение ценных бумаг в пределах </w:t>
      </w:r>
      <w:hyperlink r:id="rId14" w:anchor="/document/117/20473/" w:tooltip="[#66] " w:history="1">
        <w:r w:rsidRPr="00993873">
          <w:rPr>
            <w:rFonts w:eastAsia="Times New Roman"/>
            <w:sz w:val="20"/>
            <w:u w:val="none"/>
          </w:rPr>
          <w:t>ставки рефинансирования</w:t>
        </w:r>
      </w:hyperlink>
      <w:r w:rsidRPr="00993873">
        <w:rPr>
          <w:rFonts w:eastAsia="Times New Roman"/>
          <w:sz w:val="20"/>
          <w:u w:val="none"/>
        </w:rPr>
        <w:t xml:space="preserve">, увеличенной в 1,1 раза, </w:t>
      </w:r>
    </w:p>
    <w:p w:rsidR="00090394" w:rsidRPr="00993873" w:rsidRDefault="00090394" w:rsidP="00D252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>суммы налога на наследование или дарение ценных бумаг, уплаченные при их получении владельцем, который продает ценные бумаги;</w:t>
      </w:r>
    </w:p>
    <w:p w:rsidR="00090394" w:rsidRPr="00993873" w:rsidRDefault="00090394" w:rsidP="00D252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 xml:space="preserve">расходы дарителя (наследодателя) на приобретение ценных бумаг, если полученные в дар (в наследство) ценные бумаги не облагаются НДФЛ согласно пунктам </w:t>
      </w:r>
      <w:hyperlink r:id="rId15" w:anchor="/document/99/901765862/ZAP25RI3GN/" w:tooltip="[#68] 18) доходы в денежной и натуральной формах, получаемые от физических лиц в порядке наследования, за исключением вознаграждения, выплачиваемого наследникам (правопреемникам) авторов..." w:history="1">
        <w:r w:rsidRPr="00993873">
          <w:rPr>
            <w:rFonts w:eastAsia="Times New Roman"/>
            <w:sz w:val="20"/>
            <w:u w:val="none"/>
          </w:rPr>
          <w:t>18</w:t>
        </w:r>
      </w:hyperlink>
      <w:r w:rsidRPr="00993873">
        <w:rPr>
          <w:rFonts w:eastAsia="Times New Roman"/>
          <w:sz w:val="20"/>
          <w:u w:val="none"/>
        </w:rPr>
        <w:t xml:space="preserve"> или </w:t>
      </w:r>
      <w:hyperlink r:id="rId16" w:anchor="/document/99/901765862/ZAP1ST03DM/" w:tooltip="[#70] 18_1) доходы в денежной и натуральной формах, получаемые от физических лиц в порядке дарения, за исключением случаев дарения недвижимого имущества, транспортных средств, акций, долей,.." w:history="1">
        <w:r w:rsidRPr="00993873">
          <w:rPr>
            <w:rFonts w:eastAsia="Times New Roman"/>
            <w:sz w:val="20"/>
            <w:u w:val="none"/>
          </w:rPr>
          <w:t>18.1</w:t>
        </w:r>
      </w:hyperlink>
      <w:r w:rsidRPr="00993873">
        <w:rPr>
          <w:rFonts w:eastAsia="Times New Roman"/>
          <w:sz w:val="20"/>
          <w:u w:val="none"/>
        </w:rPr>
        <w:t xml:space="preserve"> статьи 217 НК;</w:t>
      </w:r>
    </w:p>
    <w:p w:rsidR="00090394" w:rsidRPr="00993873" w:rsidRDefault="00090394" w:rsidP="00D25223">
      <w:pPr>
        <w:numPr>
          <w:ilvl w:val="0"/>
          <w:numId w:val="1"/>
        </w:numPr>
        <w:spacing w:after="120" w:line="240" w:lineRule="auto"/>
        <w:ind w:left="0"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>другие расходы, непосредственно связанные с куплей, продажей, погашением и хранением ценных бумаг.</w:t>
      </w:r>
    </w:p>
    <w:p w:rsidR="00090394" w:rsidRPr="00993873" w:rsidRDefault="00090394" w:rsidP="00D25223">
      <w:pPr>
        <w:spacing w:after="120" w:line="240" w:lineRule="auto"/>
        <w:ind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 xml:space="preserve">Такой перечень следует из </w:t>
      </w:r>
      <w:hyperlink r:id="rId17" w:anchor="/document/99/901765862/ZA02J2M3JF/" w:tooltip="[#72] 10. В целях настоящей статьи расходами по операциям с ценными бумагами и расходами по операциям с финансовыми инструментами срочных сделок признаются документально подтвержденные..." w:history="1">
        <w:r w:rsidRPr="00993873">
          <w:rPr>
            <w:rFonts w:eastAsia="Times New Roman"/>
            <w:sz w:val="20"/>
            <w:u w:val="none"/>
          </w:rPr>
          <w:t>пункта 10</w:t>
        </w:r>
      </w:hyperlink>
      <w:r w:rsidRPr="00993873">
        <w:rPr>
          <w:rFonts w:eastAsia="Times New Roman"/>
          <w:sz w:val="20"/>
          <w:u w:val="none"/>
        </w:rPr>
        <w:t xml:space="preserve"> и </w:t>
      </w:r>
      <w:hyperlink r:id="rId18" w:anchor="/document/99/901765862/ZAP29A83J5/" w:tooltip="[#74] Если при получении налогоплательщиком ценных бумаг в порядке дарения или наследования налог в соответствии с пунктами 18 и 18_1 статьи 217 настоящего Кодекса не взимается, при налогообложении..." w:history="1">
        <w:r w:rsidRPr="00993873">
          <w:rPr>
            <w:rFonts w:eastAsia="Times New Roman"/>
            <w:sz w:val="20"/>
            <w:u w:val="none"/>
          </w:rPr>
          <w:t>абзаца 9</w:t>
        </w:r>
      </w:hyperlink>
      <w:r w:rsidRPr="00993873">
        <w:rPr>
          <w:rFonts w:eastAsia="Times New Roman"/>
          <w:sz w:val="20"/>
          <w:u w:val="none"/>
        </w:rPr>
        <w:t xml:space="preserve"> пункта 13 статьи 214.1 НК.</w:t>
      </w:r>
    </w:p>
    <w:p w:rsidR="00090394" w:rsidRPr="00993873" w:rsidRDefault="00090394" w:rsidP="00D25223">
      <w:pPr>
        <w:spacing w:after="120" w:line="240" w:lineRule="auto"/>
        <w:ind w:firstLine="709"/>
        <w:jc w:val="both"/>
        <w:rPr>
          <w:rFonts w:eastAsia="Times New Roman"/>
          <w:b/>
          <w:sz w:val="20"/>
          <w:u w:val="none"/>
        </w:rPr>
      </w:pPr>
      <w:r w:rsidRPr="00993873">
        <w:rPr>
          <w:rFonts w:eastAsia="Times New Roman"/>
          <w:sz w:val="20"/>
          <w:u w:val="none"/>
        </w:rPr>
        <w:t>Кроме того, в качестве расходов на приобретение ценных бумаг можно учесть суммы, с которых владельцы или налоговые агенты уже рассчитали и заплатили НДФЛ (</w:t>
      </w:r>
      <w:proofErr w:type="spellStart"/>
      <w:r w:rsidR="003B238D" w:rsidRPr="00993873">
        <w:rPr>
          <w:rFonts w:eastAsia="Times New Roman"/>
          <w:b/>
          <w:sz w:val="20"/>
          <w:u w:val="none"/>
        </w:rPr>
        <w:fldChar w:fldCharType="begin"/>
      </w:r>
      <w:r w:rsidRPr="00993873">
        <w:rPr>
          <w:rFonts w:eastAsia="Times New Roman"/>
          <w:sz w:val="20"/>
          <w:u w:val="none"/>
        </w:rPr>
        <w:instrText xml:space="preserve"> HYPERLINK "https://vip.1gl.ru/" \l "/document/99/901765862/ZAP2H1K3GS/" \o "[#76] При реализации (погашении) инвестиционных паев, приобретенных налогоплательщиком при внесении имущества (имущественных прав) в состав паевого инвестиционного фонда, расходами на приобретение..." </w:instrText>
      </w:r>
      <w:r w:rsidR="003B238D" w:rsidRPr="00993873">
        <w:rPr>
          <w:rFonts w:eastAsia="Times New Roman"/>
          <w:b/>
          <w:sz w:val="20"/>
          <w:u w:val="none"/>
        </w:rPr>
        <w:fldChar w:fldCharType="separate"/>
      </w:r>
      <w:r w:rsidRPr="00993873">
        <w:rPr>
          <w:rFonts w:eastAsia="Times New Roman"/>
          <w:sz w:val="20"/>
          <w:u w:val="none"/>
        </w:rPr>
        <w:t>абз</w:t>
      </w:r>
      <w:proofErr w:type="spellEnd"/>
      <w:r w:rsidRPr="00993873">
        <w:rPr>
          <w:rFonts w:eastAsia="Times New Roman"/>
          <w:sz w:val="20"/>
          <w:u w:val="none"/>
        </w:rPr>
        <w:t>. 8 п. 13 ст. 214.1 НК</w:t>
      </w:r>
      <w:r w:rsidR="003B238D" w:rsidRPr="00993873">
        <w:rPr>
          <w:rFonts w:eastAsia="Times New Roman"/>
          <w:b/>
          <w:sz w:val="20"/>
          <w:u w:val="none"/>
        </w:rPr>
        <w:fldChar w:fldCharType="end"/>
      </w:r>
      <w:r w:rsidRPr="00993873">
        <w:rPr>
          <w:rFonts w:eastAsia="Times New Roman"/>
          <w:sz w:val="20"/>
          <w:u w:val="none"/>
        </w:rPr>
        <w:t>). Например, это может быть материальная выгода от покупки ценных бумаг по цене ниже рыночной (расчетной).</w:t>
      </w:r>
    </w:p>
    <w:p w:rsidR="00090394" w:rsidRPr="00993873" w:rsidRDefault="00166C09" w:rsidP="00D25223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3873">
        <w:rPr>
          <w:rFonts w:ascii="Times New Roman" w:hAnsi="Times New Roman" w:cs="Times New Roman"/>
          <w:sz w:val="20"/>
          <w:szCs w:val="20"/>
        </w:rPr>
        <w:t>Д</w:t>
      </w:r>
      <w:r w:rsidR="00090394" w:rsidRPr="00993873">
        <w:rPr>
          <w:rFonts w:ascii="Times New Roman" w:hAnsi="Times New Roman" w:cs="Times New Roman"/>
          <w:sz w:val="20"/>
          <w:szCs w:val="20"/>
        </w:rPr>
        <w:t>окумент</w:t>
      </w:r>
      <w:r w:rsidRPr="00993873">
        <w:rPr>
          <w:rFonts w:ascii="Times New Roman" w:hAnsi="Times New Roman" w:cs="Times New Roman"/>
          <w:sz w:val="20"/>
          <w:szCs w:val="20"/>
        </w:rPr>
        <w:t>ы</w:t>
      </w:r>
      <w:r w:rsidR="00090394" w:rsidRPr="00993873">
        <w:rPr>
          <w:rFonts w:ascii="Times New Roman" w:hAnsi="Times New Roman" w:cs="Times New Roman"/>
          <w:sz w:val="20"/>
          <w:szCs w:val="20"/>
        </w:rPr>
        <w:t>, подтверждающи</w:t>
      </w:r>
      <w:r w:rsidRPr="00993873">
        <w:rPr>
          <w:rFonts w:ascii="Times New Roman" w:hAnsi="Times New Roman" w:cs="Times New Roman"/>
          <w:sz w:val="20"/>
          <w:szCs w:val="20"/>
        </w:rPr>
        <w:t>е</w:t>
      </w:r>
      <w:r w:rsidR="00090394" w:rsidRPr="00993873">
        <w:rPr>
          <w:rFonts w:ascii="Times New Roman" w:hAnsi="Times New Roman" w:cs="Times New Roman"/>
          <w:sz w:val="20"/>
          <w:szCs w:val="20"/>
        </w:rPr>
        <w:t xml:space="preserve"> произведенные расходы:</w:t>
      </w:r>
    </w:p>
    <w:p w:rsidR="00090394" w:rsidRPr="00993873" w:rsidRDefault="00090394" w:rsidP="00D25223">
      <w:pPr>
        <w:numPr>
          <w:ilvl w:val="0"/>
          <w:numId w:val="2"/>
        </w:numPr>
        <w:tabs>
          <w:tab w:val="left" w:pos="980"/>
        </w:tabs>
        <w:spacing w:after="120" w:line="240" w:lineRule="auto"/>
        <w:ind w:firstLine="709"/>
        <w:jc w:val="both"/>
        <w:rPr>
          <w:rFonts w:eastAsia="Symbol"/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>документы, на основании которых акционер произвел соответствующие расходы (договоры о приобретении ценных бумаг либо документы в виде отчетов брокеров, подтверждающие факт приобретения акционером ценных бумаг);</w:t>
      </w:r>
    </w:p>
    <w:p w:rsidR="00090394" w:rsidRPr="00993873" w:rsidRDefault="00090394" w:rsidP="00D25223">
      <w:pPr>
        <w:numPr>
          <w:ilvl w:val="0"/>
          <w:numId w:val="2"/>
        </w:numPr>
        <w:tabs>
          <w:tab w:val="left" w:pos="980"/>
        </w:tabs>
        <w:spacing w:after="120" w:line="240" w:lineRule="auto"/>
        <w:ind w:firstLine="709"/>
        <w:jc w:val="both"/>
        <w:rPr>
          <w:rFonts w:eastAsia="Symbol"/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>документы, подтверждающие факт перехода права собственности акционера на ценные бумаги (выписка по счету депо акционера в депозитарии, отчет, а также иные документы, выданные брокером);</w:t>
      </w:r>
    </w:p>
    <w:p w:rsidR="00090394" w:rsidRPr="00993873" w:rsidRDefault="00090394" w:rsidP="00D25223">
      <w:pPr>
        <w:numPr>
          <w:ilvl w:val="0"/>
          <w:numId w:val="2"/>
        </w:numPr>
        <w:tabs>
          <w:tab w:val="left" w:pos="980"/>
        </w:tabs>
        <w:spacing w:after="120" w:line="240" w:lineRule="auto"/>
        <w:ind w:firstLine="709"/>
        <w:jc w:val="both"/>
        <w:rPr>
          <w:rFonts w:eastAsia="Symbol"/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>документы, подтверждающие факт и сумму оплаты соответствующих расходов (расписки продавца в получении денежных средств, документы в виде отчетов брокеров, подтверждающие факт и сумму расходов акционера на покупку ценных бумаг, приходный кассовый ордер, платежное поручение с отметками кредитной организации о приеме к исполнению), содержащие указание на реквизиты сделки купли-продажи ценных бумаг;</w:t>
      </w:r>
    </w:p>
    <w:p w:rsidR="00090394" w:rsidRPr="00993873" w:rsidRDefault="00090394" w:rsidP="00D25223">
      <w:pPr>
        <w:numPr>
          <w:ilvl w:val="0"/>
          <w:numId w:val="2"/>
        </w:numPr>
        <w:tabs>
          <w:tab w:val="left" w:pos="980"/>
        </w:tabs>
        <w:spacing w:after="120" w:line="240" w:lineRule="auto"/>
        <w:ind w:firstLine="709"/>
        <w:rPr>
          <w:rFonts w:eastAsia="Symbol"/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>иные документы, подтверждающие вышеуказанные расходы акционера.</w:t>
      </w:r>
    </w:p>
    <w:p w:rsidR="00090394" w:rsidRPr="00993873" w:rsidRDefault="0009039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>Внимание</w:t>
      </w:r>
      <w:r w:rsidR="005964C2" w:rsidRPr="00993873">
        <w:rPr>
          <w:rFonts w:eastAsia="Arial"/>
          <w:sz w:val="20"/>
          <w:u w:val="none"/>
        </w:rPr>
        <w:t xml:space="preserve"> акционеров</w:t>
      </w:r>
      <w:r w:rsidRPr="00993873">
        <w:rPr>
          <w:rFonts w:eastAsia="Arial"/>
          <w:sz w:val="20"/>
          <w:u w:val="none"/>
        </w:rPr>
        <w:t xml:space="preserve">: </w:t>
      </w:r>
      <w:r w:rsidR="005964C2" w:rsidRPr="00993873">
        <w:rPr>
          <w:rFonts w:eastAsia="Arial"/>
          <w:sz w:val="20"/>
          <w:u w:val="none"/>
        </w:rPr>
        <w:t>н</w:t>
      </w:r>
      <w:r w:rsidRPr="00993873">
        <w:rPr>
          <w:rFonts w:eastAsia="Arial"/>
          <w:sz w:val="20"/>
          <w:u w:val="none"/>
        </w:rPr>
        <w:t xml:space="preserve">е существует единого списка документов, которые подтверждают понесенные расходы на приобретение, хранение и реализацию акций, и приведенный выше перечень документов является приблизительным. </w:t>
      </w:r>
    </w:p>
    <w:p w:rsidR="00090394" w:rsidRPr="00993873" w:rsidRDefault="00090394" w:rsidP="00D25223">
      <w:pPr>
        <w:spacing w:after="120" w:line="240" w:lineRule="auto"/>
        <w:ind w:firstLine="709"/>
        <w:jc w:val="both"/>
        <w:rPr>
          <w:rFonts w:eastAsia="Arial"/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 xml:space="preserve">При рассмотрении документов, подтверждающих расходы акционера на покупку ценных бумаг, налоговый агент на основании </w:t>
      </w:r>
      <w:proofErr w:type="spellStart"/>
      <w:r w:rsidRPr="00993873">
        <w:rPr>
          <w:rFonts w:eastAsia="Arial"/>
          <w:sz w:val="20"/>
          <w:u w:val="none"/>
        </w:rPr>
        <w:t>абз</w:t>
      </w:r>
      <w:proofErr w:type="spellEnd"/>
      <w:r w:rsidRPr="00993873">
        <w:rPr>
          <w:rFonts w:eastAsia="Arial"/>
          <w:sz w:val="20"/>
          <w:u w:val="none"/>
        </w:rPr>
        <w:t>. 3 ч. 13 ст. 214.1 НК РФ принимает к учету стоимость тех из них, которые были куплены первые по времени покупок (метод ФИФО).</w:t>
      </w:r>
    </w:p>
    <w:p w:rsidR="005C0A50" w:rsidRPr="00993873" w:rsidRDefault="005C0A50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>Указанные расходы учитываются на основании составленного налогоплательщиком (физическим лицом) заявления об уменьшении облагаемого НДФЛ дохода от реализации акций на осуществленные в отношении этих акций расходов</w:t>
      </w:r>
      <w:r w:rsidR="005F4F12" w:rsidRPr="00993873">
        <w:rPr>
          <w:sz w:val="20"/>
          <w:u w:val="none"/>
        </w:rPr>
        <w:t>. Форма такого заявления законодательно не утверждена.</w:t>
      </w:r>
      <w:r w:rsidRPr="00993873">
        <w:rPr>
          <w:sz w:val="20"/>
          <w:u w:val="none"/>
        </w:rPr>
        <w:t xml:space="preserve"> </w:t>
      </w:r>
      <w:r w:rsidR="005F4F12" w:rsidRPr="00993873">
        <w:rPr>
          <w:sz w:val="20"/>
          <w:u w:val="none"/>
        </w:rPr>
        <w:t>К</w:t>
      </w:r>
      <w:r w:rsidRPr="00993873">
        <w:rPr>
          <w:sz w:val="20"/>
          <w:u w:val="none"/>
        </w:rPr>
        <w:t xml:space="preserve"> настоящему информационному письму </w:t>
      </w:r>
      <w:r w:rsidR="005F4F12" w:rsidRPr="00993873">
        <w:rPr>
          <w:sz w:val="20"/>
          <w:u w:val="none"/>
        </w:rPr>
        <w:t>прилагается примерная форма заявления, которой может воспользоваться акционер</w:t>
      </w:r>
      <w:r w:rsidRPr="00993873">
        <w:rPr>
          <w:sz w:val="20"/>
          <w:u w:val="none"/>
        </w:rPr>
        <w:t xml:space="preserve">. </w:t>
      </w:r>
    </w:p>
    <w:p w:rsidR="00166C09" w:rsidRPr="00993873" w:rsidRDefault="00166C09" w:rsidP="00D25223">
      <w:pPr>
        <w:pStyle w:val="a4"/>
        <w:spacing w:after="120" w:line="240" w:lineRule="auto"/>
        <w:ind w:left="0" w:firstLine="709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993873">
        <w:rPr>
          <w:rFonts w:ascii="Times New Roman" w:hAnsi="Times New Roman" w:cs="Times New Roman"/>
          <w:sz w:val="20"/>
          <w:szCs w:val="20"/>
        </w:rPr>
        <w:t>Инвестиционный вычет</w:t>
      </w:r>
    </w:p>
    <w:p w:rsidR="00166C09" w:rsidRPr="00993873" w:rsidRDefault="00166C09" w:rsidP="00D25223">
      <w:pPr>
        <w:pStyle w:val="a4"/>
        <w:spacing w:after="120" w:line="240" w:lineRule="auto"/>
        <w:ind w:left="0" w:firstLine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93873">
        <w:rPr>
          <w:rFonts w:ascii="Times New Roman" w:eastAsia="Arial" w:hAnsi="Times New Roman" w:cs="Times New Roman"/>
          <w:sz w:val="20"/>
          <w:szCs w:val="20"/>
        </w:rPr>
        <w:t xml:space="preserve">Налоговая база по НДФЛ может быть уменьшена на сумму инвестиционного налогового вычета, предусмотренного </w:t>
      </w:r>
      <w:proofErr w:type="spellStart"/>
      <w:r w:rsidRPr="00993873">
        <w:rPr>
          <w:rFonts w:ascii="Times New Roman" w:eastAsia="Arial" w:hAnsi="Times New Roman" w:cs="Times New Roman"/>
          <w:sz w:val="20"/>
          <w:szCs w:val="20"/>
        </w:rPr>
        <w:t>пп</w:t>
      </w:r>
      <w:proofErr w:type="spellEnd"/>
      <w:r w:rsidRPr="00993873">
        <w:rPr>
          <w:rFonts w:ascii="Times New Roman" w:eastAsia="Arial" w:hAnsi="Times New Roman" w:cs="Times New Roman"/>
          <w:sz w:val="20"/>
          <w:szCs w:val="20"/>
        </w:rPr>
        <w:t xml:space="preserve">. 1 п. 1 ст. 219.1 НК РФ. Данный налоговый вычет предоставляется только физическим лицам, являющимся резидентами РФ, при продаже акций, приобретенных после 01.01.2014 года. </w:t>
      </w:r>
    </w:p>
    <w:p w:rsidR="00166C09" w:rsidRPr="00993873" w:rsidRDefault="00166C09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 xml:space="preserve">Вычет применяется в размере положительного финансового результата, полученного налогоплательщиком в налоговом периоде от реализации ценных бумаг, обращающихся на организованном рынке ценных бумаг и находившихся в собственности налогоплательщика более трех лет. </w:t>
      </w:r>
    </w:p>
    <w:p w:rsidR="00166C09" w:rsidRPr="00993873" w:rsidRDefault="00166C09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 xml:space="preserve">Данный налоговый вычет не применяется при реализации акций, учитываемых на индивидуальном инвестиционном счете. Налогоплательщик может иметь право на получение инвестиционного вычета, установленного </w:t>
      </w:r>
      <w:proofErr w:type="spellStart"/>
      <w:r w:rsidRPr="00993873">
        <w:rPr>
          <w:rFonts w:eastAsia="Arial"/>
          <w:sz w:val="20"/>
          <w:u w:val="none"/>
        </w:rPr>
        <w:t>пп</w:t>
      </w:r>
      <w:proofErr w:type="spellEnd"/>
      <w:r w:rsidRPr="00993873">
        <w:rPr>
          <w:rFonts w:eastAsia="Arial"/>
          <w:sz w:val="20"/>
          <w:u w:val="none"/>
        </w:rPr>
        <w:t>. 3 п. 1 ст. 219.1 НК РФ, в случае приобретения акций через индивидуальный инвестиционный счет. В таком случае для получения вычета налогоплательщику необходимо обратиться в организацию, открывшую указанный индивидуальный инвестиционный счет и выступающую в качестве налогового агента, либо заявить вычет самостоятельно посредством представления налоговой декларации (форма 3-НДФЛ).</w:t>
      </w:r>
    </w:p>
    <w:p w:rsidR="00957F5D" w:rsidRPr="00993873" w:rsidRDefault="00957F5D" w:rsidP="00957F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0"/>
          <w:u w:val="none"/>
        </w:rPr>
      </w:pPr>
      <w:r w:rsidRPr="00993873">
        <w:rPr>
          <w:bCs/>
          <w:sz w:val="20"/>
          <w:u w:val="none"/>
        </w:rPr>
        <w:t>С 01.01.2022 г. изменяются особенности предоставления инвестиционного налогового вычета по НДФЛ</w:t>
      </w:r>
    </w:p>
    <w:p w:rsidR="00957F5D" w:rsidRPr="00993873" w:rsidRDefault="00957F5D" w:rsidP="00957F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Установлено, что инвестиционный налоговый вычет в сумме денежных средств, внесенных налогоплательщиком в налоговом периоде на индивидуальный инвестиционный счет, предоставляется по </w:t>
      </w:r>
      <w:r w:rsidRPr="00993873">
        <w:rPr>
          <w:sz w:val="20"/>
          <w:u w:val="none"/>
        </w:rPr>
        <w:lastRenderedPageBreak/>
        <w:t>окончании договора на ведение счета в случае, если налогоплательщик не воспользовался правом на получение налогового вычета в сумме положительного финансового результата, полученного по операциям, учитываемым на индивидуальном инвестиционном счете.</w:t>
      </w:r>
    </w:p>
    <w:p w:rsidR="00957F5D" w:rsidRPr="00993873" w:rsidRDefault="00957F5D" w:rsidP="00957F5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>Указанное положение применяется к правоотношениям по предоставлению инвестиционного налогового вычета при исчислении налоговой базы по НДФЛ за налоговые периоды начиная с 2022 года.</w:t>
      </w:r>
    </w:p>
    <w:p w:rsidR="00957F5D" w:rsidRPr="00993873" w:rsidRDefault="00957F5D" w:rsidP="00957F5D">
      <w:pPr>
        <w:spacing w:after="120" w:line="240" w:lineRule="auto"/>
        <w:ind w:firstLine="709"/>
        <w:jc w:val="both"/>
        <w:rPr>
          <w:b/>
          <w:sz w:val="20"/>
          <w:u w:val="none"/>
        </w:rPr>
      </w:pPr>
    </w:p>
    <w:p w:rsidR="00166C09" w:rsidRPr="00993873" w:rsidRDefault="00166C09" w:rsidP="00D2522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Срок нахождения ценной бумаги в собственности налогоплательщика исчисляется исходя из метода реализации (погашения) ценных бумаг, приобретенных первыми по времени (ФИФО). </w:t>
      </w:r>
    </w:p>
    <w:p w:rsidR="00166C09" w:rsidRPr="00993873" w:rsidRDefault="00166C09" w:rsidP="00D2522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>При этом срок нахождения ценных бумаг в собственности налогоплательщика включает в себя срок, в течение которого ценные бумаги выбыли из собственности налогоплательщика по договору займа ценными бумагами с брокером и (или) по догово</w:t>
      </w:r>
      <w:r w:rsidR="005C0A50" w:rsidRPr="00993873">
        <w:rPr>
          <w:sz w:val="20"/>
          <w:u w:val="none"/>
        </w:rPr>
        <w:t xml:space="preserve">ру </w:t>
      </w:r>
      <w:proofErr w:type="spellStart"/>
      <w:r w:rsidR="005C0A50" w:rsidRPr="00993873">
        <w:rPr>
          <w:sz w:val="20"/>
          <w:u w:val="none"/>
        </w:rPr>
        <w:t>репо</w:t>
      </w:r>
      <w:proofErr w:type="spellEnd"/>
      <w:r w:rsidR="005C0A50" w:rsidRPr="00993873">
        <w:rPr>
          <w:sz w:val="20"/>
          <w:u w:val="none"/>
        </w:rPr>
        <w:t xml:space="preserve">. </w:t>
      </w:r>
    </w:p>
    <w:p w:rsidR="005F4F12" w:rsidRPr="00993873" w:rsidRDefault="005F4F1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rFonts w:eastAsia="Arial"/>
          <w:sz w:val="20"/>
          <w:u w:val="none"/>
        </w:rPr>
        <w:t>Для получения налогового вычета при исчислении налога физическому лицу необходимо вместе с предоставлением подтверждающих документов предоставить заявление на получение налогового вычета и документы, подтверждающие сведения, необходимые для определения предельного размера вычета. К таким документам относится документальное подтверждение даты приобретения акций и срока их владения (например, журнал/отчет/справка об операциях). Примерная форма заявления прилагается к информационному письму.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Указанный инвестиционный налоговый вычет может быть получен налогоплательщиком самостоятельно при представлении налоговой декларации (форма 3-НДФЛ) в налоговый орган РФ. В таком случае </w:t>
      </w:r>
      <w:r w:rsidR="003944FD" w:rsidRPr="003944FD">
        <w:rPr>
          <w:sz w:val="20"/>
          <w:u w:val="none"/>
        </w:rPr>
        <w:t>ПАО «</w:t>
      </w:r>
      <w:proofErr w:type="spellStart"/>
      <w:r w:rsidR="003944FD" w:rsidRPr="003944FD">
        <w:rPr>
          <w:sz w:val="20"/>
          <w:u w:val="none"/>
        </w:rPr>
        <w:t>ЭсЭфАй</w:t>
      </w:r>
      <w:proofErr w:type="spellEnd"/>
      <w:r w:rsidR="003944FD" w:rsidRPr="003944FD">
        <w:rPr>
          <w:sz w:val="20"/>
          <w:u w:val="none"/>
        </w:rPr>
        <w:t>»</w:t>
      </w:r>
      <w:r w:rsidRPr="00993873">
        <w:rPr>
          <w:sz w:val="20"/>
          <w:u w:val="none"/>
        </w:rPr>
        <w:t xml:space="preserve"> удержит налог со всей суммы выплаты, и налогоплательщик должен будет самостоятельно обратиться в налоговые органы за налоговым вычетом.</w:t>
      </w:r>
    </w:p>
    <w:p w:rsidR="003953A7" w:rsidRPr="00993873" w:rsidRDefault="00DB5044" w:rsidP="0081618C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993873">
        <w:rPr>
          <w:sz w:val="20"/>
          <w:u w:val="none"/>
        </w:rPr>
        <w:t>Налогообложени</w:t>
      </w:r>
      <w:r w:rsidR="00877633" w:rsidRPr="00993873">
        <w:rPr>
          <w:sz w:val="20"/>
          <w:u w:val="none"/>
        </w:rPr>
        <w:t>е</w:t>
      </w:r>
      <w:r w:rsidRPr="00993873">
        <w:rPr>
          <w:sz w:val="20"/>
          <w:u w:val="none"/>
        </w:rPr>
        <w:t xml:space="preserve"> доходов физических лиц – нерезидентов РФ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Для физических лиц, не являющихся налоговыми резидентами РФ, объектом налогообложения в РФ признается доход, полученный от источников в РФ (п. 2 ст. 209 НК РФ). К указанным доходам относятся, в том числе доходы от реализации акций в РФ. 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Акционерам-физическим лицам, не являющимся налоговыми резидентами РФ, следует учитывать положения соглашений об </w:t>
      </w:r>
      <w:proofErr w:type="spellStart"/>
      <w:r w:rsidRPr="00993873">
        <w:rPr>
          <w:sz w:val="20"/>
          <w:u w:val="none"/>
        </w:rPr>
        <w:t>избежании</w:t>
      </w:r>
      <w:proofErr w:type="spellEnd"/>
      <w:r w:rsidRPr="00993873">
        <w:rPr>
          <w:sz w:val="20"/>
          <w:u w:val="none"/>
        </w:rPr>
        <w:t xml:space="preserve"> двойного налогообложения, заключенных РФ с иностранным государством, в котором указанный акционер признается налоговым резидентом. 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В настоящее время РФ заключено 80 соглашений об </w:t>
      </w:r>
      <w:proofErr w:type="spellStart"/>
      <w:r w:rsidRPr="00993873">
        <w:rPr>
          <w:sz w:val="20"/>
          <w:u w:val="none"/>
        </w:rPr>
        <w:t>избежании</w:t>
      </w:r>
      <w:proofErr w:type="spellEnd"/>
      <w:r w:rsidRPr="00993873">
        <w:rPr>
          <w:sz w:val="20"/>
          <w:u w:val="none"/>
        </w:rPr>
        <w:t xml:space="preserve"> двойного налогообложения с различными юрисдикциями. Указанные соглашения направлены, среди прочего, на устранение ситуаций двойного налогообложения. Перечень юрисдикций, с которыми РФ заключены СОИДН, приведен на сайте Федеральной налоговой службы РФ. 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Если физическое лицо является налоговым резидентом иностранного государства, с которым РФ заключено соглашение об </w:t>
      </w:r>
      <w:proofErr w:type="spellStart"/>
      <w:r w:rsidRPr="00993873">
        <w:rPr>
          <w:sz w:val="20"/>
          <w:u w:val="none"/>
        </w:rPr>
        <w:t>избежании</w:t>
      </w:r>
      <w:proofErr w:type="spellEnd"/>
      <w:r w:rsidRPr="00993873">
        <w:rPr>
          <w:sz w:val="20"/>
          <w:u w:val="none"/>
        </w:rPr>
        <w:t xml:space="preserve"> двойного налогообложения, предусматривающее полное или частичное освобождение от налогообложения в РФ дохода от реализации акций, то </w:t>
      </w:r>
      <w:r w:rsidR="003944FD" w:rsidRPr="003944FD">
        <w:rPr>
          <w:sz w:val="20"/>
          <w:u w:val="none"/>
        </w:rPr>
        <w:t>ПАО «</w:t>
      </w:r>
      <w:proofErr w:type="spellStart"/>
      <w:r w:rsidR="003944FD" w:rsidRPr="003944FD">
        <w:rPr>
          <w:sz w:val="20"/>
          <w:u w:val="none"/>
        </w:rPr>
        <w:t>ЭсЭфАй</w:t>
      </w:r>
      <w:proofErr w:type="spellEnd"/>
      <w:r w:rsidR="003944FD" w:rsidRPr="003944FD">
        <w:rPr>
          <w:sz w:val="20"/>
          <w:u w:val="none"/>
        </w:rPr>
        <w:t>»</w:t>
      </w:r>
      <w:r w:rsidRPr="00993873">
        <w:rPr>
          <w:sz w:val="20"/>
          <w:u w:val="none"/>
        </w:rPr>
        <w:t xml:space="preserve">, действуя в качестве налогового агента, не удерживает налог при выплате такого дохода физическому лицу при условии предоставления акционером необходимых подтверждающих документов, перечисленных ниже. 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Для подтверждения права на освобождение дохода от налогообложения в соответствии с положениями соглашений об </w:t>
      </w:r>
      <w:proofErr w:type="spellStart"/>
      <w:r w:rsidRPr="00993873">
        <w:rPr>
          <w:sz w:val="20"/>
          <w:u w:val="none"/>
        </w:rPr>
        <w:t>избежании</w:t>
      </w:r>
      <w:proofErr w:type="spellEnd"/>
      <w:r w:rsidRPr="00993873">
        <w:rPr>
          <w:sz w:val="20"/>
          <w:u w:val="none"/>
        </w:rPr>
        <w:t xml:space="preserve"> двойного налогообложения физическому лицу необходимо предоставить налоговому агенту официальное подтверждение его статуса налогового резидента государства, с которым РФ заключено соглашений об </w:t>
      </w:r>
      <w:proofErr w:type="spellStart"/>
      <w:r w:rsidRPr="00993873">
        <w:rPr>
          <w:sz w:val="20"/>
          <w:u w:val="none"/>
        </w:rPr>
        <w:t>избежании</w:t>
      </w:r>
      <w:proofErr w:type="spellEnd"/>
      <w:r w:rsidRPr="00993873">
        <w:rPr>
          <w:sz w:val="20"/>
          <w:u w:val="none"/>
        </w:rPr>
        <w:t xml:space="preserve"> двойного налогообложения. 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В соответствии с НК РФ указанное подтверждение должно быть выдано компетентным органом соответствующего иностранного государства, уполномоченным на выдачу таких подтверждений на основании соглашения об </w:t>
      </w:r>
      <w:proofErr w:type="spellStart"/>
      <w:r w:rsidRPr="00993873">
        <w:rPr>
          <w:sz w:val="20"/>
          <w:u w:val="none"/>
        </w:rPr>
        <w:t>избежании</w:t>
      </w:r>
      <w:proofErr w:type="spellEnd"/>
      <w:r w:rsidRPr="00993873">
        <w:rPr>
          <w:sz w:val="20"/>
          <w:u w:val="none"/>
        </w:rPr>
        <w:t xml:space="preserve"> двойного налогообложения с РФ. В случае если такое подтверждение составлено на иностранном языке, физическому лицу необходимо предоставить в АО “</w:t>
      </w:r>
      <w:r w:rsidR="00D25223" w:rsidRPr="00993873">
        <w:rPr>
          <w:sz w:val="20"/>
          <w:u w:val="none"/>
        </w:rPr>
        <w:t>Сервис-Реестр</w:t>
      </w:r>
      <w:r w:rsidRPr="00993873">
        <w:rPr>
          <w:sz w:val="20"/>
          <w:u w:val="none"/>
        </w:rPr>
        <w:t xml:space="preserve">” его нотариально заверенный перевод на русский язык. </w:t>
      </w:r>
    </w:p>
    <w:p w:rsidR="005964C2" w:rsidRPr="00993873" w:rsidRDefault="005964C2" w:rsidP="0081618C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993873">
        <w:rPr>
          <w:sz w:val="20"/>
          <w:u w:val="none"/>
        </w:rPr>
        <w:t>Способ и порядок представления документов</w:t>
      </w:r>
    </w:p>
    <w:p w:rsidR="005964C2" w:rsidRPr="003944FD" w:rsidRDefault="005964C2" w:rsidP="00D25223">
      <w:pPr>
        <w:spacing w:after="120" w:line="240" w:lineRule="auto"/>
        <w:ind w:firstLine="709"/>
        <w:jc w:val="both"/>
        <w:rPr>
          <w:sz w:val="20"/>
          <w:u w:val="none"/>
        </w:rPr>
      </w:pPr>
      <w:r w:rsidRPr="00993873">
        <w:rPr>
          <w:sz w:val="20"/>
          <w:u w:val="none"/>
        </w:rPr>
        <w:t xml:space="preserve">Подтверждающие документы должны быть предоставлены в АО «Сервис-Реестр», как лицу, уполномоченному </w:t>
      </w:r>
      <w:r w:rsidR="003944FD" w:rsidRPr="003944FD">
        <w:rPr>
          <w:sz w:val="20"/>
          <w:u w:val="none"/>
        </w:rPr>
        <w:t>ПАО «</w:t>
      </w:r>
      <w:proofErr w:type="spellStart"/>
      <w:r w:rsidR="003944FD" w:rsidRPr="003944FD">
        <w:rPr>
          <w:sz w:val="20"/>
          <w:u w:val="none"/>
        </w:rPr>
        <w:t>ЭсЭфАй</w:t>
      </w:r>
      <w:proofErr w:type="spellEnd"/>
      <w:r w:rsidR="003944FD" w:rsidRPr="003944FD">
        <w:rPr>
          <w:sz w:val="20"/>
          <w:u w:val="none"/>
        </w:rPr>
        <w:t>»</w:t>
      </w:r>
      <w:r w:rsidRPr="00993873">
        <w:rPr>
          <w:sz w:val="20"/>
          <w:u w:val="none"/>
        </w:rPr>
        <w:t xml:space="preserve"> на прием документов, следующим способом: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sym w:font="Symbol" w:char="F0B7"/>
      </w:r>
      <w:r w:rsidRPr="00993873">
        <w:rPr>
          <w:sz w:val="20"/>
          <w:u w:val="none"/>
        </w:rPr>
        <w:t xml:space="preserve"> лично в АО «Сервис-Реестр»;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sym w:font="Symbol" w:char="F0B7"/>
      </w:r>
      <w:r w:rsidRPr="00993873">
        <w:rPr>
          <w:sz w:val="20"/>
          <w:u w:val="none"/>
        </w:rPr>
        <w:t xml:space="preserve"> по почте по следующему адресу: </w:t>
      </w:r>
      <w:r w:rsidR="00D25223" w:rsidRPr="00993873">
        <w:rPr>
          <w:sz w:val="20"/>
          <w:u w:val="none"/>
        </w:rPr>
        <w:t>107045</w:t>
      </w:r>
      <w:r w:rsidRPr="00993873">
        <w:rPr>
          <w:sz w:val="20"/>
          <w:u w:val="none"/>
        </w:rPr>
        <w:t>, г. Москва, ул. Сретенка, д.12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Обращаем Ваше внимание, что документы должны быть предоставлены в виде оригиналов или надлежащим образом заверенных копий.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Налоговым законодательством не установлен единый способ заверения документов, который признается надлежащим. В зависимости от ситуации копии документов могут быть заверены: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lastRenderedPageBreak/>
        <w:sym w:font="Symbol" w:char="F0B7"/>
      </w:r>
      <w:r w:rsidRPr="00993873">
        <w:rPr>
          <w:sz w:val="20"/>
          <w:u w:val="none"/>
        </w:rPr>
        <w:t xml:space="preserve"> АО «Сервис-Реестр» - при личном предоставлении в адрес АО «Сервис-Реестр» оригиналов таких документов (после изготовления заверенных копий оригиналы будут возвращены акционеру)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sym w:font="Symbol" w:char="F0B7"/>
      </w:r>
      <w:r w:rsidRPr="00993873">
        <w:rPr>
          <w:sz w:val="20"/>
          <w:u w:val="none"/>
        </w:rPr>
        <w:t xml:space="preserve"> уполномоченными лицами брокера (например, отчеты брокера) или депозитария (например, выписки по счетам депо) (с приложением оттиска печати)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В случае направления документов в адрес АО «Сервис-Реестр»» по почте документы должны быть заверены нотариально (за исключением брокерских отчетов, которые подлежат заверению брокером).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В случае если документы, подтверждающие понесенные расходы, составлены на иностранном языке, необходимо предоставление их нотариально заверенного перевода на русский язык.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Акционеры, права на акции которых учитываются в реестре, должны направить (предоставить) АО «Сервис-Реестр» подтверждающие документы одновременно с направлением (предоставлением) требования о выкупе акций.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Акционеры, права на акции которых учитываются у номинальных держателей, должны направить (предоставить) в АО «Сервис-Реестр» подтверждающие документы незамедлительно после направления требования о выкупе акций посредством дачи своему номинальному держателю указания (инструкции) о выкупе акций.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Подтверждающие документы должны быть получены АО «Сервис-Реестр» не позднее </w:t>
      </w:r>
      <w:r w:rsidR="00CD30FE">
        <w:rPr>
          <w:sz w:val="20"/>
          <w:u w:val="none"/>
        </w:rPr>
        <w:t>28.01.2026</w:t>
      </w:r>
      <w:r w:rsidRPr="00993873">
        <w:rPr>
          <w:sz w:val="20"/>
          <w:u w:val="none"/>
        </w:rPr>
        <w:t xml:space="preserve"> г. </w:t>
      </w:r>
    </w:p>
    <w:p w:rsidR="005964C2" w:rsidRPr="00993873" w:rsidRDefault="005964C2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В случае несвоевременного предоставления документов (документы будут получены АО «Сервис-Реестр» позже указанного выше срока) или в случае предоставления ненадлежащим образом заверенных документов, НДФЛ будет удержан со всей суммы дохода от продажи акций. </w:t>
      </w:r>
    </w:p>
    <w:p w:rsidR="005964C2" w:rsidRPr="00993873" w:rsidRDefault="003944FD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3944FD">
        <w:rPr>
          <w:sz w:val="20"/>
          <w:u w:val="none"/>
        </w:rPr>
        <w:t>ПАО «</w:t>
      </w:r>
      <w:proofErr w:type="spellStart"/>
      <w:r w:rsidRPr="003944FD">
        <w:rPr>
          <w:sz w:val="20"/>
          <w:u w:val="none"/>
        </w:rPr>
        <w:t>ЭсЭфАй</w:t>
      </w:r>
      <w:proofErr w:type="spellEnd"/>
      <w:r w:rsidRPr="003944FD">
        <w:rPr>
          <w:sz w:val="20"/>
          <w:u w:val="none"/>
        </w:rPr>
        <w:t>»</w:t>
      </w:r>
      <w:r w:rsidR="005964C2" w:rsidRPr="00993873">
        <w:rPr>
          <w:sz w:val="20"/>
          <w:u w:val="none"/>
        </w:rPr>
        <w:t xml:space="preserve"> в качестве налогового агента удерживает НДФЛ непосредственно из доходов налогоплательщика при их выплате (п. 4 ст. 226 НК РФ). </w:t>
      </w:r>
    </w:p>
    <w:p w:rsidR="003953A7" w:rsidRPr="00993873" w:rsidRDefault="00DB5044" w:rsidP="0081618C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993873">
        <w:rPr>
          <w:sz w:val="20"/>
          <w:u w:val="none"/>
        </w:rPr>
        <w:t>Налогообложение доходов Юридических лиц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В соответствии с законодательством РФ </w:t>
      </w:r>
      <w:r w:rsidR="003944FD" w:rsidRPr="003944FD">
        <w:rPr>
          <w:sz w:val="20"/>
          <w:u w:val="none"/>
        </w:rPr>
        <w:t>ПАО «</w:t>
      </w:r>
      <w:proofErr w:type="spellStart"/>
      <w:r w:rsidR="003944FD" w:rsidRPr="003944FD">
        <w:rPr>
          <w:sz w:val="20"/>
          <w:u w:val="none"/>
        </w:rPr>
        <w:t>ЭсЭфАй</w:t>
      </w:r>
      <w:proofErr w:type="spellEnd"/>
      <w:r w:rsidR="003944FD" w:rsidRPr="003944FD">
        <w:rPr>
          <w:sz w:val="20"/>
          <w:u w:val="none"/>
        </w:rPr>
        <w:t>»</w:t>
      </w:r>
      <w:r w:rsidRPr="00993873">
        <w:rPr>
          <w:sz w:val="20"/>
          <w:u w:val="none"/>
        </w:rPr>
        <w:t xml:space="preserve"> не будет выступать в качестве налогового агента по налогу на прибыль в отношении доходов юридических лиц от продажи акций. 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Таким образом, цена за акции, предъявленный к выкупу акционерами-юридическими лицами, будет выплачиваться без удержания налога. </w:t>
      </w:r>
    </w:p>
    <w:p w:rsidR="003953A7" w:rsidRPr="00993873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У </w:t>
      </w:r>
      <w:r w:rsidR="003944FD" w:rsidRPr="003944FD">
        <w:rPr>
          <w:sz w:val="20"/>
          <w:u w:val="none"/>
        </w:rPr>
        <w:t>ПАО «</w:t>
      </w:r>
      <w:proofErr w:type="spellStart"/>
      <w:r w:rsidR="003944FD" w:rsidRPr="003944FD">
        <w:rPr>
          <w:sz w:val="20"/>
          <w:u w:val="none"/>
        </w:rPr>
        <w:t>ЭсЭфАй</w:t>
      </w:r>
      <w:proofErr w:type="spellEnd"/>
      <w:r w:rsidR="003944FD" w:rsidRPr="003944FD">
        <w:rPr>
          <w:sz w:val="20"/>
          <w:u w:val="none"/>
        </w:rPr>
        <w:t>»</w:t>
      </w:r>
      <w:r w:rsidRPr="00993873">
        <w:rPr>
          <w:sz w:val="20"/>
          <w:u w:val="none"/>
        </w:rPr>
        <w:t xml:space="preserve"> не возникает обязанностей налогового агента по удержанию и перечислению в бюджет налога с дохода за выкупаемые акции, полученного акционерами - российскими организациями и иностранными организациями, осуществляющими деятельность в Российской Федерации через постоянные представительства. Обязанность по исчислению и уплате налога данные организации должны будут исполнить самостоятельно. </w:t>
      </w:r>
    </w:p>
    <w:p w:rsidR="003953A7" w:rsidRPr="0081618C" w:rsidRDefault="00DB5044" w:rsidP="00D25223">
      <w:pPr>
        <w:spacing w:after="120" w:line="240" w:lineRule="auto"/>
        <w:ind w:firstLine="709"/>
        <w:jc w:val="both"/>
        <w:rPr>
          <w:b/>
          <w:sz w:val="20"/>
          <w:u w:val="none"/>
        </w:rPr>
      </w:pPr>
      <w:r w:rsidRPr="00993873">
        <w:rPr>
          <w:sz w:val="20"/>
          <w:u w:val="none"/>
        </w:rPr>
        <w:t xml:space="preserve">В соответствии с положениями законодательства РФ </w:t>
      </w:r>
      <w:r w:rsidR="003944FD" w:rsidRPr="003944FD">
        <w:rPr>
          <w:sz w:val="20"/>
          <w:u w:val="none"/>
        </w:rPr>
        <w:t>ПАО «</w:t>
      </w:r>
      <w:proofErr w:type="spellStart"/>
      <w:proofErr w:type="gramStart"/>
      <w:r w:rsidR="003944FD" w:rsidRPr="003944FD">
        <w:rPr>
          <w:sz w:val="20"/>
          <w:u w:val="none"/>
        </w:rPr>
        <w:t>ЭсЭфАй</w:t>
      </w:r>
      <w:proofErr w:type="spellEnd"/>
      <w:r w:rsidR="003944FD" w:rsidRPr="003944FD">
        <w:rPr>
          <w:sz w:val="20"/>
          <w:u w:val="none"/>
        </w:rPr>
        <w:t>»</w:t>
      </w:r>
      <w:r w:rsidR="003953A7" w:rsidRPr="00993873">
        <w:rPr>
          <w:sz w:val="20"/>
          <w:u w:val="none"/>
        </w:rPr>
        <w:t xml:space="preserve"> </w:t>
      </w:r>
      <w:r w:rsidRPr="00993873">
        <w:rPr>
          <w:sz w:val="20"/>
          <w:u w:val="none"/>
        </w:rPr>
        <w:t xml:space="preserve"> не</w:t>
      </w:r>
      <w:proofErr w:type="gramEnd"/>
      <w:r w:rsidRPr="00993873">
        <w:rPr>
          <w:sz w:val="20"/>
          <w:u w:val="none"/>
        </w:rPr>
        <w:t xml:space="preserve"> является налоговым агентом и не обязан производить удержание российского налога с дохода от продажи акций, выплачиваемого иностранным организациям, не осуществляющим деятельность в Российской Федерации через постоянное представительство.</w:t>
      </w:r>
      <w:r w:rsidRPr="0081618C">
        <w:rPr>
          <w:sz w:val="20"/>
          <w:u w:val="none"/>
        </w:rPr>
        <w:t xml:space="preserve"> </w:t>
      </w:r>
    </w:p>
    <w:p w:rsidR="004A7334" w:rsidRDefault="00DB5044" w:rsidP="004A7334">
      <w:pPr>
        <w:spacing w:after="120" w:line="240" w:lineRule="auto"/>
        <w:ind w:firstLine="709"/>
        <w:jc w:val="center"/>
        <w:rPr>
          <w:rFonts w:eastAsia="Calibri"/>
          <w:b/>
          <w:szCs w:val="24"/>
          <w:u w:val="none"/>
        </w:rPr>
      </w:pPr>
      <w:r w:rsidRPr="0081618C">
        <w:rPr>
          <w:sz w:val="20"/>
          <w:u w:val="none"/>
        </w:rPr>
        <w:t>Информация, приведенная в настоящем информационном письме, носит справочный характер. Рекомендуем акционерам обратиться к своим налоговым консультантам и получить необходимые разъяснения.</w:t>
      </w:r>
      <w:r w:rsidR="00D25223" w:rsidRPr="0081618C">
        <w:rPr>
          <w:sz w:val="20"/>
          <w:u w:val="none"/>
        </w:rPr>
        <w:t xml:space="preserve"> </w:t>
      </w:r>
      <w:r w:rsidR="0089675D">
        <w:rPr>
          <w:sz w:val="20"/>
          <w:u w:val="none"/>
        </w:rPr>
        <w:br w:type="page"/>
      </w:r>
      <w:r w:rsidR="0089675D" w:rsidRPr="004A7334">
        <w:rPr>
          <w:rFonts w:eastAsia="Calibri"/>
          <w:b/>
          <w:szCs w:val="24"/>
          <w:u w:val="none"/>
        </w:rPr>
        <w:lastRenderedPageBreak/>
        <w:t>Список документов</w:t>
      </w:r>
    </w:p>
    <w:p w:rsidR="004A7334" w:rsidRPr="004A7334" w:rsidRDefault="004A7334" w:rsidP="004A7334">
      <w:pPr>
        <w:spacing w:after="120" w:line="240" w:lineRule="auto"/>
        <w:ind w:firstLine="709"/>
        <w:jc w:val="center"/>
        <w:rPr>
          <w:rFonts w:eastAsia="Calibri"/>
          <w:b/>
          <w:sz w:val="4"/>
          <w:szCs w:val="24"/>
          <w:u w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5"/>
        <w:gridCol w:w="6646"/>
      </w:tblGrid>
      <w:tr w:rsidR="0089675D" w:rsidRPr="0089675D" w:rsidTr="00283C55">
        <w:trPr>
          <w:trHeight w:val="198"/>
        </w:trPr>
        <w:tc>
          <w:tcPr>
            <w:tcW w:w="5000" w:type="pct"/>
            <w:gridSpan w:val="2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При обращении Регистратору необходимо предъявить паспорт гражданина РФ</w:t>
            </w:r>
          </w:p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 xml:space="preserve">Все документы должны быть представлены Регистратору либо в подлиннике, либо нотариально заверенные, либо в виде копии, заверенной брокером/доверительным управляющим/юридическим лицом-продавцом, либо в виде копии, снятой с подлинника в присутствии сотрудника Регистратора и заверенные его подписью, с указанием даты заверения, и проставлением печати Регистратора. </w:t>
            </w:r>
          </w:p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Документы, подписанные электронной подписью, предоставляются либо в виде нотариально заверенной копии, либо в виде копии, заверенной брокером/доверительным управляющим/юридическим лицом-продавцом.</w:t>
            </w:r>
          </w:p>
        </w:tc>
      </w:tr>
      <w:tr w:rsidR="0089675D" w:rsidRPr="0089675D" w:rsidTr="00283C55">
        <w:trPr>
          <w:trHeight w:val="198"/>
        </w:trPr>
        <w:tc>
          <w:tcPr>
            <w:tcW w:w="1647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 xml:space="preserve">Подтверждение налогового </w:t>
            </w:r>
            <w:proofErr w:type="spellStart"/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резидентства</w:t>
            </w:r>
            <w:proofErr w:type="spellEnd"/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 xml:space="preserve"> РФ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Документ, подтверждающий налоговое </w:t>
            </w:r>
            <w:proofErr w:type="spellStart"/>
            <w:r w:rsidRPr="0089675D">
              <w:rPr>
                <w:rFonts w:eastAsia="Calibri"/>
                <w:sz w:val="22"/>
                <w:szCs w:val="22"/>
                <w:u w:val="none"/>
              </w:rPr>
              <w:t>резидентство</w:t>
            </w:r>
            <w:proofErr w:type="spellEnd"/>
            <w:r w:rsidRPr="0089675D">
              <w:rPr>
                <w:rFonts w:eastAsia="Calibri"/>
                <w:sz w:val="22"/>
                <w:szCs w:val="22"/>
                <w:u w:val="none"/>
              </w:rPr>
              <w:t>, выданный ФНС РФ</w:t>
            </w:r>
          </w:p>
          <w:p w:rsidR="0089675D" w:rsidRPr="0089675D" w:rsidRDefault="0089675D" w:rsidP="0089675D">
            <w:pPr>
              <w:spacing w:after="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Заграничный паспорт</w:t>
            </w:r>
          </w:p>
          <w:p w:rsidR="0089675D" w:rsidRPr="0089675D" w:rsidRDefault="0089675D" w:rsidP="0089675D">
            <w:pPr>
              <w:spacing w:after="0" w:line="259" w:lineRule="auto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Заявление об отсутствии действующего заграничного паспорта в течение 2025 – 2026 </w:t>
            </w:r>
            <w:proofErr w:type="spellStart"/>
            <w:r w:rsidRPr="0089675D">
              <w:rPr>
                <w:rFonts w:eastAsia="Calibri"/>
                <w:sz w:val="22"/>
                <w:szCs w:val="22"/>
                <w:u w:val="none"/>
              </w:rPr>
              <w:t>гг</w:t>
            </w:r>
            <w:proofErr w:type="spellEnd"/>
          </w:p>
        </w:tc>
      </w:tr>
      <w:tr w:rsidR="0089675D" w:rsidRPr="0089675D" w:rsidTr="00283C55">
        <w:trPr>
          <w:trHeight w:val="198"/>
        </w:trPr>
        <w:tc>
          <w:tcPr>
            <w:tcW w:w="1647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Подтверждение срока владения акциями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Журнал/отчет/справка об операциях</w:t>
            </w:r>
          </w:p>
        </w:tc>
      </w:tr>
      <w:tr w:rsidR="0089675D" w:rsidRPr="0089675D" w:rsidTr="00283C55">
        <w:trPr>
          <w:trHeight w:val="198"/>
        </w:trPr>
        <w:tc>
          <w:tcPr>
            <w:tcW w:w="5000" w:type="pct"/>
            <w:gridSpan w:val="2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Документы по расходам на приобретение</w:t>
            </w:r>
          </w:p>
        </w:tc>
      </w:tr>
      <w:tr w:rsidR="0089675D" w:rsidRPr="0089675D" w:rsidTr="00283C55">
        <w:trPr>
          <w:trHeight w:val="198"/>
        </w:trPr>
        <w:tc>
          <w:tcPr>
            <w:tcW w:w="1647" w:type="pct"/>
            <w:shd w:val="clear" w:color="auto" w:fill="auto"/>
          </w:tcPr>
          <w:p w:rsidR="0089675D" w:rsidRPr="0089675D" w:rsidRDefault="0089675D" w:rsidP="0089675D">
            <w:pPr>
              <w:spacing w:after="0" w:line="259" w:lineRule="auto"/>
              <w:jc w:val="center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Способ</w:t>
            </w:r>
          </w:p>
          <w:p w:rsidR="0089675D" w:rsidRPr="0089675D" w:rsidRDefault="0089675D" w:rsidP="0089675D">
            <w:pPr>
              <w:spacing w:after="0" w:line="259" w:lineRule="auto"/>
              <w:jc w:val="center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приобретения/получения</w:t>
            </w:r>
          </w:p>
          <w:p w:rsidR="0089675D" w:rsidRPr="0089675D" w:rsidRDefault="0089675D" w:rsidP="0089675D">
            <w:pPr>
              <w:spacing w:after="0" w:line="259" w:lineRule="auto"/>
              <w:jc w:val="center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ценных бумаг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0" w:line="259" w:lineRule="auto"/>
              <w:jc w:val="center"/>
              <w:rPr>
                <w:rFonts w:eastAsia="Calibri"/>
                <w:b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b/>
                <w:sz w:val="22"/>
                <w:szCs w:val="22"/>
                <w:u w:val="none"/>
              </w:rPr>
              <w:t>Перечень документов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Первичное размещение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Договор на приобретение (при наличии)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Платежный документ или приходный ордер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депозитария/выписка по лицевому счету в реестре за период со дня приобретения по день списания ценных бумаг</w:t>
            </w:r>
          </w:p>
        </w:tc>
      </w:tr>
      <w:tr w:rsidR="0089675D" w:rsidRPr="0089675D" w:rsidTr="00283C55">
        <w:trPr>
          <w:trHeight w:val="253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Покупка на бирже или внебиржевом рынке через </w:t>
            </w:r>
            <w:r w:rsidRPr="0089675D">
              <w:rPr>
                <w:rFonts w:eastAsia="Calibri"/>
                <w:sz w:val="22"/>
                <w:szCs w:val="22"/>
              </w:rPr>
              <w:t>российского</w:t>
            </w: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брокера / доверительного управляющего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Договор на брокерское обслуживание / доверительное управление либо заявление (анкета) (при наличии)</w:t>
            </w:r>
          </w:p>
        </w:tc>
      </w:tr>
      <w:tr w:rsidR="0089675D" w:rsidRPr="0089675D" w:rsidTr="00283C55">
        <w:trPr>
          <w:trHeight w:val="25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Отчет брокера / доверительного управляющего</w:t>
            </w:r>
          </w:p>
        </w:tc>
      </w:tr>
      <w:tr w:rsidR="0089675D" w:rsidRPr="0089675D" w:rsidTr="00283C55">
        <w:trPr>
          <w:trHeight w:val="538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 /выписка по лицевому счету в реестре за период со дня приобретения по день списания ценных бумаг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Покупка на бирже или внебиржевом рынке через </w:t>
            </w:r>
            <w:r w:rsidRPr="0089675D">
              <w:rPr>
                <w:rFonts w:eastAsia="Calibri"/>
                <w:sz w:val="22"/>
                <w:szCs w:val="22"/>
              </w:rPr>
              <w:t>иностранного</w:t>
            </w: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брокера / доверительного управляющего</w:t>
            </w:r>
          </w:p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89675D">
              <w:rPr>
                <w:rFonts w:eastAsia="Calibri"/>
                <w:i/>
                <w:sz w:val="22"/>
                <w:szCs w:val="22"/>
                <w:u w:val="none"/>
              </w:rPr>
              <w:t xml:space="preserve">Документы на иностранном языке должны быть представлены с нотариальным переводом на русский язык  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Договор на брокерское обслуживание / доверительное управление либо заявление (анкета) (при наличии)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Подтверждение реального осуществления брокером / доверительных управляющим деятельности (учредительные документы, </w:t>
            </w:r>
            <w:proofErr w:type="spellStart"/>
            <w:r w:rsidRPr="0089675D">
              <w:rPr>
                <w:rFonts w:eastAsia="Calibri"/>
                <w:sz w:val="22"/>
                <w:szCs w:val="22"/>
                <w:u w:val="none"/>
              </w:rPr>
              <w:t>скрины</w:t>
            </w:r>
            <w:proofErr w:type="spellEnd"/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с официального сайта и пр.) </w:t>
            </w:r>
          </w:p>
        </w:tc>
      </w:tr>
      <w:tr w:rsidR="0089675D" w:rsidRPr="0089675D" w:rsidTr="00283C55">
        <w:trPr>
          <w:trHeight w:val="265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Отчет брокера / доверительного управляющего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депозитария/выписка по лицевому счету в реестре за период со дня приобретения по день списания ценных бумаг</w:t>
            </w:r>
          </w:p>
        </w:tc>
      </w:tr>
      <w:tr w:rsidR="0089675D" w:rsidRPr="0089675D" w:rsidTr="00283C55">
        <w:trPr>
          <w:trHeight w:val="621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Платежный документ или приходный </w:t>
            </w:r>
            <w:proofErr w:type="gramStart"/>
            <w:r w:rsidRPr="0089675D">
              <w:rPr>
                <w:rFonts w:eastAsia="Calibri"/>
                <w:sz w:val="22"/>
                <w:szCs w:val="22"/>
                <w:u w:val="none"/>
              </w:rPr>
              <w:t>ордер</w:t>
            </w:r>
            <w:proofErr w:type="gramEnd"/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или письмо от брокера / доверительного управляющего, подтверждающее факт оплаты ценных бумаг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Покупка на внебиржевом рынке у </w:t>
            </w:r>
            <w:r w:rsidRPr="0089675D">
              <w:rPr>
                <w:rFonts w:eastAsia="Calibri"/>
                <w:sz w:val="22"/>
                <w:szCs w:val="22"/>
              </w:rPr>
              <w:t>юридического</w:t>
            </w: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лица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Договор на приобретение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Платежный документ или приходный ордер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депозитария/выписка по лицевому счету в реестре за период со дня приобретения по день списания ценных бумаг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Покупка на внебиржевом рынке у </w:t>
            </w:r>
            <w:r w:rsidRPr="0089675D">
              <w:rPr>
                <w:rFonts w:eastAsia="Calibri"/>
                <w:sz w:val="22"/>
                <w:szCs w:val="22"/>
              </w:rPr>
              <w:t>физического</w:t>
            </w: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лица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Договор на приобретение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Платежный документ или расписка в получении денег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депозитария/выписка по лицевому счету в реестре за период со дня приобретения по день списания ценных бумаг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Получены по договору дарения (иному безвозмездному договору) </w:t>
            </w:r>
            <w:r w:rsidRPr="0089675D">
              <w:rPr>
                <w:rFonts w:eastAsia="Calibri"/>
                <w:sz w:val="22"/>
                <w:szCs w:val="22"/>
              </w:rPr>
              <w:t>не</w:t>
            </w:r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от членов семьи и (</w:t>
            </w:r>
            <w:proofErr w:type="gramStart"/>
            <w:r w:rsidRPr="0089675D">
              <w:rPr>
                <w:rFonts w:eastAsia="Calibri"/>
                <w:sz w:val="22"/>
                <w:szCs w:val="22"/>
                <w:u w:val="none"/>
              </w:rPr>
              <w:t>или)  близких</w:t>
            </w:r>
            <w:proofErr w:type="gramEnd"/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родственников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Договор дарения (иной безвозмездный договор)</w:t>
            </w:r>
          </w:p>
        </w:tc>
      </w:tr>
      <w:tr w:rsidR="0089675D" w:rsidRPr="0089675D" w:rsidTr="00283C55">
        <w:trPr>
          <w:trHeight w:val="76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депозитария/выписка по лицевому счету в реестре за период со дня получения в дар по день списания ценных бумаг</w:t>
            </w:r>
          </w:p>
        </w:tc>
      </w:tr>
      <w:tr w:rsidR="0089675D" w:rsidRPr="0089675D" w:rsidTr="00283C55">
        <w:trPr>
          <w:trHeight w:val="512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Декларация 3-НДФЛ (с отметкой о принятии декларации налоговым органом), в которой задекларирована материальная выгода по полученным в дар ценным бумагам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Платежное поручение, подтверждающее уплату НДФЛ с задекларированной материальной выгоды</w:t>
            </w:r>
          </w:p>
        </w:tc>
      </w:tr>
      <w:tr w:rsidR="0089675D" w:rsidRPr="0089675D" w:rsidTr="00283C55">
        <w:trPr>
          <w:trHeight w:val="255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Получены по договору дарения (иному безвозмездному договору) от членов семьи и (</w:t>
            </w:r>
            <w:proofErr w:type="gramStart"/>
            <w:r w:rsidRPr="0089675D">
              <w:rPr>
                <w:rFonts w:eastAsia="Calibri"/>
                <w:sz w:val="22"/>
                <w:szCs w:val="22"/>
                <w:u w:val="none"/>
              </w:rPr>
              <w:t>или)  близких</w:t>
            </w:r>
            <w:proofErr w:type="gramEnd"/>
            <w:r w:rsidRPr="0089675D">
              <w:rPr>
                <w:rFonts w:eastAsia="Calibri"/>
                <w:sz w:val="22"/>
                <w:szCs w:val="22"/>
                <w:u w:val="none"/>
              </w:rPr>
              <w:t xml:space="preserve"> родственников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Договор дарения (иной безвозмездный договор)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депозитария/выписка по лицевому счету в реестре за период со дня получения в дар по день списания ценных бумаг</w:t>
            </w:r>
          </w:p>
        </w:tc>
      </w:tr>
      <w:tr w:rsidR="0089675D" w:rsidRPr="0089675D" w:rsidTr="00283C55">
        <w:trPr>
          <w:trHeight w:val="512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Документы, подтверждающие родство (свидетельство о браке, свидетельство о рождении и т.п.)</w:t>
            </w:r>
          </w:p>
        </w:tc>
      </w:tr>
      <w:tr w:rsidR="0089675D" w:rsidRPr="0089675D" w:rsidTr="00283C55">
        <w:trPr>
          <w:trHeight w:val="750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Документы, подтверждающие приобретение ценных бумаг дарителем. Перечень документов определяется в порядке, указанном выше, в зависимости от способа их приобретения/получения дарителем</w:t>
            </w:r>
          </w:p>
        </w:tc>
      </w:tr>
      <w:tr w:rsidR="0089675D" w:rsidRPr="0089675D" w:rsidTr="00283C55">
        <w:trPr>
          <w:trHeight w:val="255"/>
        </w:trPr>
        <w:tc>
          <w:tcPr>
            <w:tcW w:w="1647" w:type="pct"/>
            <w:vMerge w:val="restar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Получены в порядке наследования</w:t>
            </w: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Свидетельство о праве на наследство</w:t>
            </w:r>
          </w:p>
        </w:tc>
      </w:tr>
      <w:tr w:rsidR="0089675D" w:rsidRPr="0089675D" w:rsidTr="00283C55">
        <w:trPr>
          <w:trHeight w:val="503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Выписка из депозитария/выписка по лицевому счету в реестре за период со дня получения в наследство по день списания ценных бумаг</w:t>
            </w:r>
          </w:p>
        </w:tc>
      </w:tr>
      <w:tr w:rsidR="0089675D" w:rsidRPr="0089675D" w:rsidTr="00283C55">
        <w:trPr>
          <w:trHeight w:val="274"/>
        </w:trPr>
        <w:tc>
          <w:tcPr>
            <w:tcW w:w="1647" w:type="pct"/>
            <w:vMerge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</w:p>
        </w:tc>
        <w:tc>
          <w:tcPr>
            <w:tcW w:w="3353" w:type="pct"/>
            <w:shd w:val="clear" w:color="auto" w:fill="auto"/>
          </w:tcPr>
          <w:p w:rsidR="0089675D" w:rsidRPr="0089675D" w:rsidRDefault="0089675D" w:rsidP="0089675D">
            <w:pPr>
              <w:spacing w:after="160" w:line="259" w:lineRule="auto"/>
              <w:rPr>
                <w:rFonts w:eastAsia="Calibri"/>
                <w:sz w:val="22"/>
                <w:szCs w:val="22"/>
                <w:u w:val="none"/>
              </w:rPr>
            </w:pPr>
            <w:r w:rsidRPr="0089675D">
              <w:rPr>
                <w:rFonts w:eastAsia="Calibri"/>
                <w:sz w:val="22"/>
                <w:szCs w:val="22"/>
                <w:u w:val="none"/>
              </w:rPr>
              <w:t>Документы, подтверждающие приобретение ценных бумаг наследодателем. Перечень документов определяется в порядке, указанном выше, в зависимости от способа их приобретения/получения наследодателем.</w:t>
            </w:r>
          </w:p>
        </w:tc>
      </w:tr>
    </w:tbl>
    <w:p w:rsidR="0089675D" w:rsidRDefault="0089675D">
      <w:pPr>
        <w:rPr>
          <w:sz w:val="20"/>
          <w:u w:val="none"/>
        </w:rPr>
      </w:pPr>
    </w:p>
    <w:p w:rsidR="0089675D" w:rsidRDefault="0089675D">
      <w:pPr>
        <w:rPr>
          <w:b/>
          <w:sz w:val="20"/>
          <w:u w:val="none"/>
        </w:rPr>
      </w:pPr>
      <w:r>
        <w:rPr>
          <w:b/>
          <w:sz w:val="20"/>
          <w:u w:val="none"/>
        </w:rPr>
        <w:br w:type="page"/>
      </w:r>
    </w:p>
    <w:p w:rsidR="0089675D" w:rsidRDefault="002E6BED" w:rsidP="0089675D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E923ED">
        <w:rPr>
          <w:b/>
          <w:sz w:val="20"/>
          <w:u w:val="none"/>
        </w:rPr>
        <w:lastRenderedPageBreak/>
        <w:t>ПРИМЕРНЫЕ ОБРАЗЦЫ ЗАЯВЛЕНИЙ</w:t>
      </w:r>
    </w:p>
    <w:p w:rsidR="0089675D" w:rsidRPr="0089675D" w:rsidRDefault="0089675D" w:rsidP="0089675D">
      <w:pPr>
        <w:spacing w:after="120" w:line="240" w:lineRule="auto"/>
        <w:ind w:firstLine="709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Руководителю</w:t>
      </w:r>
    </w:p>
    <w:p w:rsidR="0089675D" w:rsidRPr="0089675D" w:rsidRDefault="0089675D" w:rsidP="0089675D">
      <w:pPr>
        <w:spacing w:after="120" w:line="240" w:lineRule="auto"/>
        <w:ind w:firstLine="709"/>
        <w:jc w:val="right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(ФИО)____________________________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паспорт 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адрес постоянной регистрации: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b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дата рождения: 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СНИЛС 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ИНН 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телефон __________________________</w:t>
      </w:r>
    </w:p>
    <w:p w:rsidR="0089675D" w:rsidRPr="0089675D" w:rsidRDefault="0089675D" w:rsidP="0089675D">
      <w:pPr>
        <w:spacing w:before="240" w:after="120" w:line="259" w:lineRule="auto"/>
        <w:jc w:val="center"/>
        <w:rPr>
          <w:rFonts w:eastAsia="Calibri"/>
          <w:b/>
          <w:bCs/>
          <w:sz w:val="24"/>
          <w:szCs w:val="24"/>
          <w:u w:val="none"/>
        </w:rPr>
      </w:pPr>
      <w:r w:rsidRPr="0089675D">
        <w:rPr>
          <w:rFonts w:eastAsia="Calibri"/>
          <w:b/>
          <w:bCs/>
          <w:sz w:val="24"/>
          <w:szCs w:val="24"/>
          <w:u w:val="none"/>
        </w:rPr>
        <w:t>Заявление</w:t>
      </w:r>
    </w:p>
    <w:p w:rsidR="0089675D" w:rsidRPr="0089675D" w:rsidRDefault="0089675D" w:rsidP="0089675D">
      <w:pPr>
        <w:spacing w:before="24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Я, _________________________________________________________________________</w:t>
      </w:r>
      <w:r w:rsidR="004E685C" w:rsidRPr="004E685C">
        <w:rPr>
          <w:rFonts w:eastAsia="Calibri"/>
          <w:sz w:val="24"/>
          <w:szCs w:val="24"/>
          <w:u w:val="none"/>
        </w:rPr>
        <w:t>_</w:t>
      </w:r>
      <w:r w:rsidR="004E685C">
        <w:rPr>
          <w:rFonts w:eastAsia="Calibri"/>
          <w:sz w:val="24"/>
          <w:szCs w:val="24"/>
          <w:u w:val="none"/>
          <w:lang w:val="en-US"/>
        </w:rPr>
        <w:t>_____</w:t>
      </w:r>
      <w:r w:rsidRPr="0089675D">
        <w:rPr>
          <w:rFonts w:eastAsia="Calibri"/>
          <w:sz w:val="24"/>
          <w:szCs w:val="24"/>
          <w:u w:val="none"/>
        </w:rPr>
        <w:t>,</w:t>
      </w:r>
    </w:p>
    <w:p w:rsidR="0089675D" w:rsidRPr="0089675D" w:rsidRDefault="0089675D" w:rsidP="0089675D">
      <w:pPr>
        <w:spacing w:before="24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в связи с продажей принадлежащих мне акций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 подтверждаю и в порядке статьи 431.2 ГК РФ предоставляю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 заверения об обстоятельствах о том, что я</w:t>
      </w:r>
    </w:p>
    <w:p w:rsidR="0089675D" w:rsidRPr="0089675D" w:rsidRDefault="0089675D" w:rsidP="0089675D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являлся налоговым резидентом РФ в 2025 году; и</w:t>
      </w:r>
    </w:p>
    <w:p w:rsidR="0089675D" w:rsidRPr="0089675D" w:rsidRDefault="0089675D" w:rsidP="0089675D">
      <w:pPr>
        <w:numPr>
          <w:ilvl w:val="0"/>
          <w:numId w:val="9"/>
        </w:numPr>
        <w:spacing w:before="120" w:after="120" w:line="259" w:lineRule="auto"/>
        <w:ind w:left="357" w:hanging="357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являюсь налоговым резидентом РФ в 2026 году и обязуюсь обеспечить достоверность и действительность указанного заверения об обстоятельствах по итогам 2026 года.</w:t>
      </w:r>
    </w:p>
    <w:p w:rsidR="0089675D" w:rsidRPr="0089675D" w:rsidRDefault="0089675D" w:rsidP="0089675D">
      <w:pPr>
        <w:spacing w:before="12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При поступлении запросов со стороны налоговых органов в отношении моего налогового статуса обязуюсь предоставить в адрес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 и(или) налоговых органов необходимые пояснения и дополнительную информацию в течение 3-х дней после направления требования.</w:t>
      </w:r>
    </w:p>
    <w:p w:rsidR="0089675D" w:rsidRPr="0089675D" w:rsidRDefault="0089675D" w:rsidP="0089675D">
      <w:pPr>
        <w:spacing w:before="120" w:after="120" w:line="259" w:lineRule="auto"/>
        <w:jc w:val="both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Подтверждаю, что мне известно о том, что при осуществлении функций налогового агента в связи с покупкой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 принадлежащих мне акций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», ПАО «</w:t>
      </w:r>
      <w:proofErr w:type="spellStart"/>
      <w:proofErr w:type="gram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  действует</w:t>
      </w:r>
      <w:proofErr w:type="gramEnd"/>
      <w:r w:rsidRPr="0089675D">
        <w:rPr>
          <w:rFonts w:eastAsia="Calibri"/>
          <w:sz w:val="24"/>
          <w:szCs w:val="24"/>
          <w:u w:val="none"/>
        </w:rPr>
        <w:t>, полагаясь на данные заверения.</w:t>
      </w:r>
    </w:p>
    <w:p w:rsidR="0089675D" w:rsidRPr="0089675D" w:rsidRDefault="0089675D" w:rsidP="0089675D">
      <w:pPr>
        <w:spacing w:before="12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Приложения: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Default="007164C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Подпись Заявителя/Представителя: </w:t>
      </w: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_____________________________ / ___________________________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</w:tblGrid>
      <w:tr w:rsidR="0089675D" w:rsidRPr="0089675D" w:rsidTr="00283C55">
        <w:tc>
          <w:tcPr>
            <w:tcW w:w="3256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ФИО</w:t>
            </w:r>
          </w:p>
        </w:tc>
        <w:tc>
          <w:tcPr>
            <w:tcW w:w="3118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подпись</w:t>
            </w:r>
          </w:p>
        </w:tc>
      </w:tr>
    </w:tbl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Дата ______________________________________________________</w:t>
      </w:r>
    </w:p>
    <w:p w:rsidR="0089675D" w:rsidRDefault="0089675D">
      <w:pPr>
        <w:rPr>
          <w:b/>
          <w:sz w:val="20"/>
          <w:u w:val="none"/>
        </w:rPr>
      </w:pPr>
      <w:r>
        <w:rPr>
          <w:b/>
          <w:sz w:val="20"/>
          <w:u w:val="none"/>
        </w:rPr>
        <w:br w:type="page"/>
      </w:r>
    </w:p>
    <w:p w:rsidR="0089675D" w:rsidRDefault="0089675D" w:rsidP="0089675D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E923ED">
        <w:rPr>
          <w:b/>
          <w:sz w:val="20"/>
          <w:u w:val="none"/>
        </w:rPr>
        <w:lastRenderedPageBreak/>
        <w:t>ПРИМЕРНЫЕ ОБРАЗЦЫ ЗАЯВЛЕНИЙ</w:t>
      </w:r>
    </w:p>
    <w:p w:rsidR="0089675D" w:rsidRPr="0089675D" w:rsidRDefault="0089675D" w:rsidP="0089675D">
      <w:pPr>
        <w:spacing w:after="120" w:line="240" w:lineRule="auto"/>
        <w:ind w:firstLine="709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Руководителю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(ФИО)____________________________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паспорт 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адрес постоянной регистрации: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b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дата рождения: 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СНИЛС 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ИНН 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телефон __________________________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>Заявление об уменьшении дохода, облагаемого НДФЛ,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>полученного от продажи ценных бумаг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Я заявляю, что являюсь налоговым резидентом РФ, и на основании статьи 214.1, п.1ст.226 и п.4 ст.226.1 НК РФ прошу при определении налоговой </w:t>
      </w:r>
      <w:r>
        <w:rPr>
          <w:rFonts w:eastAsia="Calibri"/>
          <w:sz w:val="24"/>
          <w:szCs w:val="24"/>
          <w:u w:val="none"/>
        </w:rPr>
        <w:t>базы по НДФЛ по операциям</w:t>
      </w:r>
      <w:r w:rsidRPr="0089675D">
        <w:rPr>
          <w:rFonts w:eastAsia="Calibri"/>
          <w:sz w:val="24"/>
          <w:szCs w:val="24"/>
          <w:u w:val="none"/>
        </w:rPr>
        <w:t xml:space="preserve"> с вышеуказанными ценными бумагами учесть фактически осуществленные мной расходы в сумме _________________ руб., связанные с приобретением и хранением акций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</w:t>
      </w:r>
      <w:r>
        <w:rPr>
          <w:rFonts w:eastAsia="Calibri"/>
          <w:sz w:val="24"/>
          <w:szCs w:val="24"/>
          <w:u w:val="none"/>
        </w:rPr>
        <w:t xml:space="preserve">, произведенные мной </w:t>
      </w:r>
      <w:r w:rsidRPr="0089675D">
        <w:rPr>
          <w:rFonts w:eastAsia="Calibri"/>
          <w:sz w:val="24"/>
          <w:szCs w:val="24"/>
          <w:u w:val="none"/>
        </w:rPr>
        <w:t>без участия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 xml:space="preserve">» как налогового агента. </w:t>
      </w: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В качестве документального подтверждения налогового </w:t>
      </w:r>
      <w:proofErr w:type="spellStart"/>
      <w:r w:rsidRPr="0089675D">
        <w:rPr>
          <w:rFonts w:eastAsia="Calibri"/>
          <w:sz w:val="24"/>
          <w:szCs w:val="24"/>
          <w:u w:val="none"/>
        </w:rPr>
        <w:t>резидентства</w:t>
      </w:r>
      <w:proofErr w:type="spellEnd"/>
      <w:r w:rsidRPr="0089675D">
        <w:rPr>
          <w:rFonts w:eastAsia="Calibri"/>
          <w:sz w:val="24"/>
          <w:szCs w:val="24"/>
          <w:u w:val="none"/>
        </w:rPr>
        <w:t xml:space="preserve"> РФ и вышеуказанных расходов в соответствии с требованиями статей 226 и 226.1 НК РФ направляю подтверждающие документы, а именно: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89675D" w:rsidRPr="0089675D" w:rsidRDefault="0089675D" w:rsidP="0089675D">
      <w:pPr>
        <w:spacing w:after="0" w:line="259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Подпись Заявителя/Представителя: </w:t>
      </w: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_____________________________ / ___________________________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</w:tblGrid>
      <w:tr w:rsidR="0089675D" w:rsidRPr="0089675D" w:rsidTr="00283C55">
        <w:tc>
          <w:tcPr>
            <w:tcW w:w="3256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ФИО</w:t>
            </w:r>
          </w:p>
        </w:tc>
        <w:tc>
          <w:tcPr>
            <w:tcW w:w="3118" w:type="dxa"/>
          </w:tcPr>
          <w:p w:rsidR="0089675D" w:rsidRPr="0089675D" w:rsidRDefault="0089675D" w:rsidP="0089675D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подпись</w:t>
            </w:r>
          </w:p>
        </w:tc>
      </w:tr>
    </w:tbl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Дата ______________________________________________________</w:t>
      </w:r>
    </w:p>
    <w:p w:rsidR="0089675D" w:rsidRDefault="0089675D">
      <w:pPr>
        <w:rPr>
          <w:b/>
          <w:sz w:val="20"/>
          <w:u w:val="none"/>
        </w:rPr>
      </w:pPr>
    </w:p>
    <w:p w:rsidR="0089675D" w:rsidRDefault="0089675D">
      <w:pPr>
        <w:rPr>
          <w:b/>
          <w:sz w:val="20"/>
          <w:u w:val="none"/>
        </w:rPr>
      </w:pPr>
      <w:r>
        <w:rPr>
          <w:b/>
          <w:sz w:val="20"/>
          <w:u w:val="none"/>
        </w:rPr>
        <w:br w:type="page"/>
      </w:r>
    </w:p>
    <w:p w:rsidR="008D6DD4" w:rsidRPr="00E923ED" w:rsidRDefault="008D6DD4" w:rsidP="008D6DD4">
      <w:pPr>
        <w:spacing w:after="120" w:line="240" w:lineRule="auto"/>
        <w:ind w:firstLine="709"/>
        <w:jc w:val="center"/>
        <w:rPr>
          <w:b/>
          <w:sz w:val="20"/>
          <w:u w:val="none"/>
        </w:rPr>
      </w:pPr>
      <w:r w:rsidRPr="00E923ED">
        <w:rPr>
          <w:b/>
          <w:sz w:val="20"/>
          <w:u w:val="none"/>
        </w:rPr>
        <w:lastRenderedPageBreak/>
        <w:t>ПРИМЕРНЫЕ ОБРАЗЦЫ ЗАЯВЛЕНИЙ</w:t>
      </w:r>
    </w:p>
    <w:p w:rsidR="008D6DD4" w:rsidRDefault="008D6DD4" w:rsidP="00762E9B">
      <w:pPr>
        <w:spacing w:after="0"/>
        <w:jc w:val="right"/>
        <w:rPr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Руководителю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(ФИО)____________________________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паспорт 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адрес постоянной регистрации: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b/>
          <w:sz w:val="22"/>
          <w:szCs w:val="22"/>
          <w:u w:val="none"/>
        </w:rPr>
        <w:t>__________________________________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дата рождения: 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СНИЛС 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ИНН _____________________________</w:t>
      </w:r>
    </w:p>
    <w:p w:rsidR="0089675D" w:rsidRPr="0089675D" w:rsidRDefault="0089675D" w:rsidP="0089675D">
      <w:pPr>
        <w:spacing w:after="0" w:line="259" w:lineRule="auto"/>
        <w:ind w:firstLine="5387"/>
        <w:rPr>
          <w:rFonts w:eastAsia="Calibri"/>
          <w:b/>
          <w:sz w:val="22"/>
          <w:szCs w:val="22"/>
          <w:u w:val="none"/>
        </w:rPr>
      </w:pPr>
      <w:r w:rsidRPr="0089675D">
        <w:rPr>
          <w:rFonts w:eastAsia="Calibri"/>
          <w:sz w:val="22"/>
          <w:szCs w:val="22"/>
          <w:u w:val="none"/>
        </w:rPr>
        <w:t>телефон __________________________</w:t>
      </w:r>
    </w:p>
    <w:p w:rsidR="0089675D" w:rsidRPr="0089675D" w:rsidRDefault="0089675D" w:rsidP="0089675D">
      <w:pPr>
        <w:spacing w:after="0" w:line="259" w:lineRule="auto"/>
        <w:jc w:val="right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 xml:space="preserve">Заявление 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b/>
          <w:sz w:val="24"/>
          <w:szCs w:val="24"/>
          <w:u w:val="none"/>
        </w:rPr>
        <w:t>на получение инвестиционного налогового вычета</w:t>
      </w:r>
    </w:p>
    <w:p w:rsidR="0089675D" w:rsidRPr="0089675D" w:rsidRDefault="0089675D" w:rsidP="0089675D">
      <w:pPr>
        <w:spacing w:after="0" w:line="259" w:lineRule="auto"/>
        <w:jc w:val="center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Я заявляю, что являюсь налоговым резидентом РФ, и прошу предоставить мне на основании пп.1 п.1 статьи 219.1 НК РФ инвестиционный налоговый вычет в размере положительного финансового результата в сумме _____________ руб., полученного от реализации акций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 xml:space="preserve">», обращающихся на организованном рынке ценных бумаг и находившихся в собственности более трех лет </w:t>
      </w:r>
    </w:p>
    <w:p w:rsidR="0089675D" w:rsidRPr="0089675D" w:rsidRDefault="0089675D" w:rsidP="0089675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z w:val="24"/>
          <w:szCs w:val="24"/>
          <w:u w:val="none"/>
        </w:rPr>
      </w:pPr>
    </w:p>
    <w:p w:rsidR="0089675D" w:rsidRPr="0089675D" w:rsidRDefault="0089675D" w:rsidP="0089675D">
      <w:pPr>
        <w:spacing w:after="0" w:line="259" w:lineRule="auto"/>
        <w:ind w:firstLine="709"/>
        <w:jc w:val="both"/>
        <w:rPr>
          <w:rFonts w:eastAsia="Calibri"/>
          <w:b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В качестве документального подтверждения налогового </w:t>
      </w:r>
      <w:proofErr w:type="spellStart"/>
      <w:r w:rsidRPr="0089675D">
        <w:rPr>
          <w:rFonts w:eastAsia="Calibri"/>
          <w:sz w:val="24"/>
          <w:szCs w:val="24"/>
          <w:u w:val="none"/>
        </w:rPr>
        <w:t>резидентства</w:t>
      </w:r>
      <w:proofErr w:type="spellEnd"/>
      <w:r w:rsidRPr="0089675D">
        <w:rPr>
          <w:rFonts w:eastAsia="Calibri"/>
          <w:sz w:val="24"/>
          <w:szCs w:val="24"/>
          <w:u w:val="none"/>
        </w:rPr>
        <w:t xml:space="preserve"> РФ и срока нахождения акций ПАО «</w:t>
      </w:r>
      <w:proofErr w:type="spellStart"/>
      <w:r w:rsidRPr="0089675D">
        <w:rPr>
          <w:rFonts w:eastAsia="Calibri"/>
          <w:sz w:val="24"/>
          <w:szCs w:val="24"/>
          <w:u w:val="none"/>
        </w:rPr>
        <w:t>ЭсЭфАй</w:t>
      </w:r>
      <w:proofErr w:type="spellEnd"/>
      <w:r w:rsidRPr="0089675D">
        <w:rPr>
          <w:rFonts w:eastAsia="Calibri"/>
          <w:sz w:val="24"/>
          <w:szCs w:val="24"/>
          <w:u w:val="none"/>
        </w:rPr>
        <w:t>» в моей собственности направляю следующие документы: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7164CD" w:rsidRPr="00645E05" w:rsidRDefault="007164CD" w:rsidP="007164CD">
      <w:pPr>
        <w:spacing w:before="120" w:after="120" w:line="259" w:lineRule="auto"/>
        <w:rPr>
          <w:rFonts w:eastAsia="Calibri"/>
          <w:sz w:val="24"/>
          <w:szCs w:val="24"/>
          <w:u w:val="none"/>
          <w:lang w:val="en-US"/>
        </w:rPr>
      </w:pPr>
      <w:r w:rsidRPr="0089675D">
        <w:rPr>
          <w:rFonts w:eastAsia="Calibri"/>
          <w:sz w:val="24"/>
          <w:szCs w:val="24"/>
          <w:u w:val="none"/>
        </w:rPr>
        <w:t>___________________________________________________</w:t>
      </w:r>
      <w:r>
        <w:rPr>
          <w:rFonts w:eastAsia="Calibri"/>
          <w:sz w:val="24"/>
          <w:szCs w:val="24"/>
          <w:u w:val="none"/>
          <w:lang w:val="en-US"/>
        </w:rPr>
        <w:t>_______________________________</w:t>
      </w:r>
    </w:p>
    <w:p w:rsidR="008D6DD4" w:rsidRDefault="008D6DD4" w:rsidP="008D6DD4">
      <w:pPr>
        <w:rPr>
          <w:sz w:val="24"/>
          <w:szCs w:val="24"/>
        </w:rPr>
      </w:pPr>
    </w:p>
    <w:p w:rsidR="0089675D" w:rsidRDefault="0089675D" w:rsidP="008D6DD4">
      <w:pPr>
        <w:rPr>
          <w:sz w:val="24"/>
          <w:szCs w:val="24"/>
        </w:rPr>
      </w:pP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Подпись Заявителя/Представителя: </w:t>
      </w:r>
    </w:p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 xml:space="preserve">_____________________________ / ___________________________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</w:tblGrid>
      <w:tr w:rsidR="0089675D" w:rsidRPr="0089675D" w:rsidTr="00283C55">
        <w:tc>
          <w:tcPr>
            <w:tcW w:w="3256" w:type="dxa"/>
          </w:tcPr>
          <w:p w:rsidR="0089675D" w:rsidRPr="0089675D" w:rsidRDefault="0089675D" w:rsidP="00283C55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ФИО</w:t>
            </w:r>
          </w:p>
        </w:tc>
        <w:tc>
          <w:tcPr>
            <w:tcW w:w="3118" w:type="dxa"/>
          </w:tcPr>
          <w:p w:rsidR="0089675D" w:rsidRPr="0089675D" w:rsidRDefault="0089675D" w:rsidP="00283C55">
            <w:pPr>
              <w:jc w:val="center"/>
              <w:rPr>
                <w:strike w:val="0"/>
                <w:sz w:val="24"/>
                <w:szCs w:val="24"/>
                <w:vertAlign w:val="subscript"/>
              </w:rPr>
            </w:pPr>
            <w:r w:rsidRPr="0089675D">
              <w:rPr>
                <w:strike w:val="0"/>
                <w:sz w:val="24"/>
                <w:szCs w:val="24"/>
                <w:vertAlign w:val="subscript"/>
              </w:rPr>
              <w:t>подпись</w:t>
            </w:r>
          </w:p>
        </w:tc>
      </w:tr>
    </w:tbl>
    <w:p w:rsidR="0089675D" w:rsidRPr="0089675D" w:rsidRDefault="0089675D" w:rsidP="0089675D">
      <w:pPr>
        <w:spacing w:before="240" w:after="120" w:line="259" w:lineRule="auto"/>
        <w:rPr>
          <w:rFonts w:eastAsia="Calibri"/>
          <w:sz w:val="24"/>
          <w:szCs w:val="24"/>
          <w:u w:val="none"/>
        </w:rPr>
      </w:pPr>
      <w:r w:rsidRPr="0089675D">
        <w:rPr>
          <w:rFonts w:eastAsia="Calibri"/>
          <w:sz w:val="24"/>
          <w:szCs w:val="24"/>
          <w:u w:val="none"/>
        </w:rPr>
        <w:t>Дата ______________________________________________________</w:t>
      </w:r>
    </w:p>
    <w:p w:rsidR="0089675D" w:rsidRPr="008D6DD4" w:rsidRDefault="0089675D" w:rsidP="008D6DD4">
      <w:pPr>
        <w:rPr>
          <w:sz w:val="24"/>
          <w:szCs w:val="24"/>
        </w:rPr>
      </w:pPr>
    </w:p>
    <w:p w:rsidR="008D6DD4" w:rsidRDefault="008D6D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D6DD4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</w:p>
    <w:p w:rsidR="008D6DD4" w:rsidRPr="00E363B2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  <w:r w:rsidRPr="00E363B2">
        <w:rPr>
          <w:bCs/>
        </w:rPr>
        <w:t>СОГЛАСИЕ</w:t>
      </w:r>
    </w:p>
    <w:p w:rsidR="008D6DD4" w:rsidRPr="00E363B2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  <w:r w:rsidRPr="00E363B2">
        <w:rPr>
          <w:bCs/>
        </w:rPr>
        <w:t>на обработку персональных данных</w:t>
      </w:r>
    </w:p>
    <w:p w:rsidR="008D6DD4" w:rsidRPr="00E363B2" w:rsidRDefault="008D6DD4" w:rsidP="008D6DD4">
      <w:pPr>
        <w:pStyle w:val="a8"/>
        <w:spacing w:before="0" w:beforeAutospacing="0" w:after="0" w:afterAutospacing="0"/>
        <w:jc w:val="center"/>
        <w:rPr>
          <w:b w:val="0"/>
          <w:bCs/>
        </w:rPr>
      </w:pPr>
    </w:p>
    <w:p w:rsidR="008D6DD4" w:rsidRDefault="008D6DD4" w:rsidP="008D6DD4">
      <w:pPr>
        <w:pStyle w:val="a8"/>
        <w:spacing w:before="0" w:beforeAutospacing="0" w:after="0" w:afterAutospacing="0"/>
        <w:jc w:val="both"/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>Я, _______________________________________________________________________________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center"/>
        <w:rPr>
          <w:b w:val="0"/>
          <w:i/>
          <w:vertAlign w:val="superscript"/>
        </w:rPr>
      </w:pPr>
      <w:r w:rsidRPr="0001107E">
        <w:rPr>
          <w:b w:val="0"/>
          <w:i/>
          <w:vertAlign w:val="superscript"/>
        </w:rPr>
        <w:t>Фамилия, имя, отчество</w:t>
      </w:r>
    </w:p>
    <w:p w:rsidR="008D6DD4" w:rsidRPr="00566F38" w:rsidRDefault="008D6DD4" w:rsidP="008D6DD4">
      <w:pPr>
        <w:pStyle w:val="a8"/>
        <w:spacing w:before="0" w:beforeAutospacing="0" w:after="0" w:afterAutospacing="0"/>
        <w:rPr>
          <w:b w:val="0"/>
          <w:lang w:val="en-US"/>
        </w:rPr>
      </w:pPr>
      <w:r w:rsidRPr="0001107E">
        <w:rPr>
          <w:b w:val="0"/>
        </w:rPr>
        <w:t>проживающий по адресу: _____________________________________________________________</w:t>
      </w:r>
      <w:r w:rsidR="00566F38">
        <w:rPr>
          <w:b w:val="0"/>
          <w:lang w:val="en-US"/>
        </w:rPr>
        <w:t>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>_________________________________________________________________________________,</w:t>
      </w: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 xml:space="preserve">паспорт серии_________ № ______________________, выдан </w:t>
      </w:r>
      <w:bookmarkStart w:id="0" w:name="_GoBack"/>
      <w:bookmarkEnd w:id="0"/>
      <w:r w:rsidRPr="0001107E">
        <w:rPr>
          <w:b w:val="0"/>
        </w:rPr>
        <w:t>_____________________________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</w:p>
    <w:p w:rsidR="008D6DD4" w:rsidRPr="0001107E" w:rsidRDefault="008D6DD4" w:rsidP="008D6DD4">
      <w:pPr>
        <w:pStyle w:val="a8"/>
        <w:spacing w:before="0" w:beforeAutospacing="0" w:after="0" w:afterAutospacing="0"/>
        <w:rPr>
          <w:b w:val="0"/>
        </w:rPr>
      </w:pPr>
      <w:r w:rsidRPr="0001107E">
        <w:rPr>
          <w:b w:val="0"/>
        </w:rPr>
        <w:t>_________________________________________________________________________________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center"/>
        <w:rPr>
          <w:b w:val="0"/>
          <w:i/>
          <w:vertAlign w:val="superscript"/>
        </w:rPr>
      </w:pPr>
      <w:r w:rsidRPr="0001107E">
        <w:rPr>
          <w:b w:val="0"/>
          <w:i/>
          <w:vertAlign w:val="superscript"/>
        </w:rPr>
        <w:t>Орган, выдавший паспорт / дата выдачи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 xml:space="preserve">в соответствии с требованиями статьи 9 Федерального закона от 27 июля 2006 г. № 152-ФЗ </w:t>
      </w:r>
      <w:r w:rsidRPr="0001107E">
        <w:rPr>
          <w:b w:val="0"/>
        </w:rPr>
        <w:br/>
        <w:t>«О персональных данных», свободно, своей волей и в своем интересе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  <w:bCs/>
        </w:rPr>
        <w:t xml:space="preserve">даю согласие </w:t>
      </w:r>
      <w:r w:rsidRPr="0001107E">
        <w:rPr>
          <w:b w:val="0"/>
          <w:bCs/>
          <w:color w:val="000000"/>
          <w:spacing w:val="-3"/>
        </w:rPr>
        <w:t>АО «Сервис-Реестр»</w:t>
      </w:r>
      <w:r w:rsidRPr="0001107E">
        <w:rPr>
          <w:b w:val="0"/>
          <w:spacing w:val="-1"/>
        </w:rPr>
        <w:t xml:space="preserve"> (ОГРН 1028601354055, ИНН 8605006147, адрес: 107045, г. Москва, ул. </w:t>
      </w:r>
      <w:proofErr w:type="spellStart"/>
      <w:r w:rsidRPr="0001107E">
        <w:rPr>
          <w:b w:val="0"/>
          <w:spacing w:val="-1"/>
        </w:rPr>
        <w:t>Сретенка</w:t>
      </w:r>
      <w:proofErr w:type="spellEnd"/>
      <w:r w:rsidRPr="0001107E">
        <w:rPr>
          <w:b w:val="0"/>
          <w:spacing w:val="-1"/>
        </w:rPr>
        <w:t>, д. 12), именуемому в дальнейшем «Оператор», от имени которого действует генеральный директор Щербак Надежда Владимировна на основании Устава,</w:t>
      </w:r>
      <w:r w:rsidRPr="0001107E">
        <w:rPr>
          <w:b w:val="0"/>
        </w:rPr>
        <w:t xml:space="preserve">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</w:t>
      </w:r>
    </w:p>
    <w:p w:rsidR="008D6DD4" w:rsidRPr="0001107E" w:rsidRDefault="008D6DD4" w:rsidP="008D6DD4">
      <w:pPr>
        <w:pStyle w:val="a8"/>
        <w:rPr>
          <w:b w:val="0"/>
        </w:rPr>
      </w:pPr>
      <w:r w:rsidRPr="0001107E">
        <w:rPr>
          <w:b w:val="0"/>
          <w:bCs/>
        </w:rPr>
        <w:t>в целях</w:t>
      </w:r>
      <w:r w:rsidRPr="0001107E">
        <w:rPr>
          <w:b w:val="0"/>
        </w:rPr>
        <w:t>: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осуществления Оператором приема, обработки и передачи публичному акционерному обществу «</w:t>
      </w:r>
      <w:proofErr w:type="spellStart"/>
      <w:r w:rsidRPr="0001107E">
        <w:rPr>
          <w:b w:val="0"/>
        </w:rPr>
        <w:t>ЭсЭфАй</w:t>
      </w:r>
      <w:proofErr w:type="spellEnd"/>
      <w:r w:rsidRPr="0001107E">
        <w:rPr>
          <w:b w:val="0"/>
        </w:rPr>
        <w:t>» (далее ПАО «</w:t>
      </w:r>
      <w:proofErr w:type="spellStart"/>
      <w:r w:rsidRPr="0001107E">
        <w:rPr>
          <w:b w:val="0"/>
        </w:rPr>
        <w:t>ЭсЭфАй</w:t>
      </w:r>
      <w:proofErr w:type="spellEnd"/>
      <w:r w:rsidRPr="0001107E">
        <w:rPr>
          <w:b w:val="0"/>
        </w:rPr>
        <w:t>»)</w:t>
      </w:r>
      <w:r w:rsidRPr="0001107E">
        <w:rPr>
          <w:rFonts w:eastAsia="Calibri"/>
          <w:b w:val="0"/>
          <w:sz w:val="22"/>
          <w:szCs w:val="22"/>
          <w:lang w:eastAsia="en-US"/>
        </w:rPr>
        <w:t xml:space="preserve"> </w:t>
      </w:r>
      <w:r w:rsidRPr="0001107E">
        <w:rPr>
          <w:b w:val="0"/>
        </w:rPr>
        <w:t>в соответствии с условиями договора, заключенного между Оператором и ПАО «</w:t>
      </w:r>
      <w:proofErr w:type="spellStart"/>
      <w:r w:rsidRPr="0001107E">
        <w:rPr>
          <w:b w:val="0"/>
        </w:rPr>
        <w:t>ЭсЭфАй</w:t>
      </w:r>
      <w:proofErr w:type="spellEnd"/>
      <w:r w:rsidRPr="0001107E">
        <w:rPr>
          <w:b w:val="0"/>
        </w:rPr>
        <w:t>», предоставляемого(</w:t>
      </w:r>
      <w:proofErr w:type="spellStart"/>
      <w:r w:rsidRPr="0001107E">
        <w:rPr>
          <w:b w:val="0"/>
        </w:rPr>
        <w:t>ых</w:t>
      </w:r>
      <w:proofErr w:type="spellEnd"/>
      <w:r w:rsidRPr="0001107E">
        <w:rPr>
          <w:b w:val="0"/>
        </w:rPr>
        <w:t>) мной заявления(</w:t>
      </w:r>
      <w:proofErr w:type="spellStart"/>
      <w:r w:rsidRPr="0001107E">
        <w:rPr>
          <w:b w:val="0"/>
        </w:rPr>
        <w:t>ий</w:t>
      </w:r>
      <w:proofErr w:type="spellEnd"/>
      <w:r w:rsidRPr="0001107E">
        <w:rPr>
          <w:b w:val="0"/>
        </w:rPr>
        <w:t xml:space="preserve">) об уменьшении облагаемого налогом на доходы физических лиц (далее </w:t>
      </w:r>
      <w:r w:rsidRPr="0001107E">
        <w:rPr>
          <w:rFonts w:eastAsia="Calibri"/>
          <w:b w:val="0"/>
          <w:lang w:eastAsia="en-US"/>
        </w:rPr>
        <w:t>–</w:t>
      </w:r>
      <w:r w:rsidRPr="0001107E">
        <w:rPr>
          <w:b w:val="0"/>
        </w:rPr>
        <w:t xml:space="preserve"> НДФЛ) дохода от реализации акций и прилагаемых к нему (к ним) документов, подтверждающих осуществленные расходы, связанные с их приобретением, реализацией и хранением, и (или) право на освобождение от обложения НДФЛ дохода, а также заявления(й) на получение инвестиционного налогового вычета и прилагаемых к ним документов, подтверждающих дату приобретения и срок владения ценными бумагами;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осуществления Оператором расчета сумм НДФЛ, подлежащих удержанию при организации ПАО «</w:t>
      </w:r>
      <w:proofErr w:type="spellStart"/>
      <w:r w:rsidRPr="0001107E">
        <w:rPr>
          <w:b w:val="0"/>
        </w:rPr>
        <w:t>ЭсЭфАй</w:t>
      </w:r>
      <w:proofErr w:type="spellEnd"/>
      <w:r w:rsidRPr="0001107E">
        <w:rPr>
          <w:b w:val="0"/>
        </w:rPr>
        <w:t>» выплаты денежных средств за выкупаемые акции.</w:t>
      </w:r>
    </w:p>
    <w:p w:rsidR="008D6DD4" w:rsidRPr="0001107E" w:rsidRDefault="008D6DD4" w:rsidP="008D6DD4">
      <w:pPr>
        <w:pStyle w:val="a8"/>
        <w:rPr>
          <w:b w:val="0"/>
        </w:rPr>
      </w:pPr>
      <w:r w:rsidRPr="0001107E">
        <w:rPr>
          <w:b w:val="0"/>
          <w:bCs/>
        </w:rPr>
        <w:t>Перечень моих персональных данных, на обработку которых я даю согласие</w:t>
      </w:r>
      <w:r w:rsidRPr="0001107E">
        <w:rPr>
          <w:b w:val="0"/>
        </w:rPr>
        <w:t>: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фамилия, имя, отчество;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дата рождения;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документ, удостоверяющий личность (серия, номер, кем и когда выдан);</w:t>
      </w:r>
      <w:r w:rsidRPr="0001107E" w:rsidDel="00220509">
        <w:rPr>
          <w:b w:val="0"/>
        </w:rPr>
        <w:t xml:space="preserve"> 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адрес места жительства;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ИНН;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гражданство;</w:t>
      </w:r>
    </w:p>
    <w:p w:rsidR="008D6DD4" w:rsidRPr="0001107E" w:rsidRDefault="008D6DD4" w:rsidP="008D6DD4">
      <w:pPr>
        <w:pStyle w:val="a8"/>
        <w:spacing w:before="0" w:beforeAutospacing="0" w:after="0" w:afterAutospacing="0"/>
        <w:jc w:val="both"/>
        <w:rPr>
          <w:b w:val="0"/>
        </w:rPr>
      </w:pPr>
      <w:r w:rsidRPr="0001107E">
        <w:rPr>
          <w:b w:val="0"/>
        </w:rPr>
        <w:t>- банковские реквизиты.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lastRenderedPageBreak/>
        <w:t>Доступ к персональным данным вправе иметь работники и контрагенты Оператора, которым такой доступ необходим в связи с исполнением ими должностных и/или договорных обязанностей как со мной непосредственно, так и с Оператором.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>Оператор вправе передавать мои персональные данные органам дознания, следствия, иным уполномоченным органам (в том числе налоговым органам, Центральному банку Российской Федерации и другим) по основаниям, предусмотренным действующим законодательством Российской Федерации.</w:t>
      </w:r>
    </w:p>
    <w:p w:rsidR="008D6DD4" w:rsidRPr="0001107E" w:rsidRDefault="008D6DD4" w:rsidP="008D6DD4">
      <w:pPr>
        <w:pStyle w:val="a4"/>
        <w:tabs>
          <w:tab w:val="left" w:pos="1134"/>
        </w:tabs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Настоящим я подтверждаю, что: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 xml:space="preserve">- Оператором разъяснены последствия </w:t>
      </w:r>
      <w:proofErr w:type="spellStart"/>
      <w:r w:rsidRPr="0001107E">
        <w:rPr>
          <w:rFonts w:ascii="Times New Roman" w:hAnsi="Times New Roman" w:cs="Times New Roman"/>
          <w:b w:val="0"/>
          <w:sz w:val="24"/>
          <w:szCs w:val="24"/>
        </w:rPr>
        <w:t>непредоставления</w:t>
      </w:r>
      <w:proofErr w:type="spellEnd"/>
      <w:r w:rsidRPr="0001107E">
        <w:rPr>
          <w:rFonts w:ascii="Times New Roman" w:hAnsi="Times New Roman" w:cs="Times New Roman"/>
          <w:b w:val="0"/>
          <w:sz w:val="24"/>
          <w:szCs w:val="24"/>
        </w:rPr>
        <w:t xml:space="preserve"> персональных данных в случаях, когда предоставление таких персональных данных является обязательным в соответствии с федеральным законом.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- Я проинформирован(а)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- Я проинформирован(а) об иных правах и обязанностях, вытекающих из настоящего согласия.</w:t>
      </w:r>
    </w:p>
    <w:p w:rsidR="008D6DD4" w:rsidRPr="0001107E" w:rsidRDefault="008D6DD4" w:rsidP="008D6DD4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107E">
        <w:rPr>
          <w:rFonts w:ascii="Times New Roman" w:hAnsi="Times New Roman" w:cs="Times New Roman"/>
          <w:b w:val="0"/>
          <w:sz w:val="24"/>
          <w:szCs w:val="24"/>
        </w:rPr>
        <w:t>- Я ознакомлен(а) с Политикой обработки персональных данных Оператора.</w:t>
      </w:r>
    </w:p>
    <w:p w:rsidR="008D6DD4" w:rsidRPr="0001107E" w:rsidRDefault="008D6DD4" w:rsidP="008D6DD4">
      <w:pPr>
        <w:pStyle w:val="a8"/>
        <w:spacing w:after="0" w:afterAutospacing="0"/>
        <w:jc w:val="both"/>
        <w:rPr>
          <w:b w:val="0"/>
        </w:rPr>
      </w:pPr>
      <w:r w:rsidRPr="0001107E">
        <w:rPr>
          <w:b w:val="0"/>
        </w:rPr>
        <w:t>Настоящее согласие действует со дня его подписания до окончания срока действия обязательного предложения о приобретении ценных бумаг.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>Согласие может быть отозвано путем направления заявления в произвольной форме в адрес Оператора любым способом, позволяющим однозначно определить факт его получения адресатом и установить личность отправителя.</w:t>
      </w:r>
    </w:p>
    <w:p w:rsidR="008D6DD4" w:rsidRPr="0001107E" w:rsidRDefault="008D6DD4" w:rsidP="008D6DD4">
      <w:pPr>
        <w:pStyle w:val="a8"/>
        <w:jc w:val="both"/>
        <w:rPr>
          <w:b w:val="0"/>
        </w:rPr>
      </w:pPr>
      <w:r w:rsidRPr="0001107E">
        <w:rPr>
          <w:b w:val="0"/>
        </w:rPr>
        <w:t>Я уведомлен о том, что в случае моего отзыва согласия на обработку персональных данных, Оператор вправе продолжить обработку персональных данных без моего согласия в соответствии с частью второй статьи 9 Федерального закона от 27 июля 2006 года № 152-ФЗ «О персональных данных».</w:t>
      </w:r>
    </w:p>
    <w:p w:rsidR="008D6DD4" w:rsidRPr="00F60F1A" w:rsidRDefault="008D6DD4" w:rsidP="008D6DD4">
      <w:pPr>
        <w:pStyle w:val="a8"/>
        <w:jc w:val="both"/>
      </w:pPr>
    </w:p>
    <w:p w:rsidR="008D6DD4" w:rsidRPr="008D6DD4" w:rsidRDefault="008D6DD4" w:rsidP="008D6DD4">
      <w:pPr>
        <w:shd w:val="clear" w:color="auto" w:fill="FFFFFF"/>
        <w:tabs>
          <w:tab w:val="left" w:pos="710"/>
        </w:tabs>
        <w:spacing w:after="0" w:line="274" w:lineRule="exact"/>
        <w:jc w:val="both"/>
        <w:rPr>
          <w:rFonts w:eastAsia="Times New Roman"/>
          <w:sz w:val="24"/>
          <w:szCs w:val="24"/>
          <w:u w:val="none"/>
          <w:lang w:eastAsia="ru-RU"/>
        </w:rPr>
      </w:pPr>
      <w:r w:rsidRPr="008D6DD4">
        <w:rPr>
          <w:rFonts w:eastAsia="Times New Roman"/>
          <w:sz w:val="24"/>
          <w:u w:val="none"/>
          <w:lang w:eastAsia="ru-RU"/>
        </w:rPr>
        <w:t>«</w:t>
      </w:r>
      <w:r w:rsidRPr="008D6DD4">
        <w:rPr>
          <w:rFonts w:eastAsia="Times New Roman"/>
          <w:sz w:val="20"/>
          <w:u w:val="none"/>
          <w:lang w:eastAsia="ru-RU"/>
        </w:rPr>
        <w:t>____</w:t>
      </w:r>
      <w:r w:rsidRPr="008D6DD4">
        <w:rPr>
          <w:rFonts w:eastAsia="Times New Roman"/>
          <w:sz w:val="24"/>
          <w:u w:val="none"/>
          <w:lang w:eastAsia="ru-RU"/>
        </w:rPr>
        <w:t>»</w:t>
      </w:r>
      <w:r w:rsidRPr="008D6DD4">
        <w:rPr>
          <w:rFonts w:eastAsia="Times New Roman"/>
          <w:sz w:val="20"/>
          <w:u w:val="none"/>
          <w:lang w:eastAsia="ru-RU"/>
        </w:rPr>
        <w:t>_______________ </w:t>
      </w:r>
      <w:r w:rsidRPr="008D6DD4">
        <w:rPr>
          <w:rFonts w:eastAsia="Times New Roman"/>
          <w:sz w:val="24"/>
          <w:szCs w:val="24"/>
          <w:u w:val="none"/>
          <w:lang w:eastAsia="ru-RU"/>
        </w:rPr>
        <w:t>20</w:t>
      </w:r>
      <w:r w:rsidRPr="008D6DD4">
        <w:rPr>
          <w:rFonts w:eastAsia="Times New Roman"/>
          <w:sz w:val="20"/>
          <w:u w:val="none"/>
          <w:lang w:eastAsia="ru-RU"/>
        </w:rPr>
        <w:t>___ </w:t>
      </w:r>
      <w:r w:rsidRPr="008D6DD4">
        <w:rPr>
          <w:rFonts w:eastAsia="Times New Roman"/>
          <w:sz w:val="24"/>
          <w:szCs w:val="24"/>
          <w:u w:val="none"/>
          <w:lang w:eastAsia="ru-RU"/>
        </w:rPr>
        <w:t>г.</w:t>
      </w:r>
      <w:r w:rsidRPr="008D6DD4">
        <w:rPr>
          <w:rFonts w:eastAsia="Times New Roman"/>
          <w:sz w:val="20"/>
          <w:u w:val="none"/>
          <w:lang w:eastAsia="ru-RU"/>
        </w:rPr>
        <w:t xml:space="preserve">    </w:t>
      </w:r>
      <w:r w:rsidRPr="008D6DD4">
        <w:rPr>
          <w:rFonts w:eastAsia="Times New Roman"/>
          <w:sz w:val="20"/>
          <w:u w:val="none"/>
          <w:lang w:eastAsia="ru-RU"/>
        </w:rPr>
        <w:tab/>
        <w:t xml:space="preserve">     </w:t>
      </w:r>
      <w:r w:rsidRPr="008D6DD4">
        <w:rPr>
          <w:rFonts w:eastAsia="Times New Roman"/>
          <w:sz w:val="24"/>
          <w:szCs w:val="24"/>
          <w:u w:val="none"/>
          <w:lang w:eastAsia="ru-RU"/>
        </w:rPr>
        <w:t>_______________________ / __________________________</w:t>
      </w:r>
    </w:p>
    <w:p w:rsidR="008D6DD4" w:rsidRPr="008D6DD4" w:rsidRDefault="008D6DD4" w:rsidP="008D6DD4">
      <w:pPr>
        <w:shd w:val="clear" w:color="auto" w:fill="FFFFFF"/>
        <w:tabs>
          <w:tab w:val="left" w:pos="859"/>
        </w:tabs>
        <w:spacing w:after="0" w:line="254" w:lineRule="exact"/>
        <w:ind w:firstLine="1260"/>
        <w:jc w:val="both"/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</w:pP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  <w:t xml:space="preserve">           личная подпись </w:t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</w:r>
      <w:r w:rsidRPr="008D6DD4">
        <w:rPr>
          <w:rFonts w:eastAsia="Times New Roman"/>
          <w:i/>
          <w:sz w:val="24"/>
          <w:szCs w:val="24"/>
          <w:u w:val="none"/>
          <w:vertAlign w:val="superscript"/>
          <w:lang w:eastAsia="ru-RU"/>
        </w:rPr>
        <w:tab/>
        <w:t xml:space="preserve"> расшифровка подписи (ФИО)</w:t>
      </w:r>
    </w:p>
    <w:p w:rsidR="00762E9B" w:rsidRPr="008D6DD4" w:rsidRDefault="00762E9B" w:rsidP="008D6DD4">
      <w:pPr>
        <w:ind w:firstLine="708"/>
        <w:rPr>
          <w:sz w:val="24"/>
          <w:szCs w:val="24"/>
        </w:rPr>
      </w:pPr>
    </w:p>
    <w:sectPr w:rsidR="00762E9B" w:rsidRPr="008D6DD4" w:rsidSect="00700F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F3E"/>
    <w:multiLevelType w:val="hybridMultilevel"/>
    <w:tmpl w:val="07D015B4"/>
    <w:lvl w:ilvl="0" w:tplc="E780BE34">
      <w:start w:val="1"/>
      <w:numFmt w:val="bullet"/>
      <w:lvlText w:val=""/>
      <w:lvlJc w:val="left"/>
    </w:lvl>
    <w:lvl w:ilvl="1" w:tplc="88E8D75C">
      <w:numFmt w:val="decimal"/>
      <w:lvlText w:val=""/>
      <w:lvlJc w:val="left"/>
    </w:lvl>
    <w:lvl w:ilvl="2" w:tplc="99805D9A">
      <w:numFmt w:val="decimal"/>
      <w:lvlText w:val=""/>
      <w:lvlJc w:val="left"/>
    </w:lvl>
    <w:lvl w:ilvl="3" w:tplc="4D7AC89C">
      <w:numFmt w:val="decimal"/>
      <w:lvlText w:val=""/>
      <w:lvlJc w:val="left"/>
    </w:lvl>
    <w:lvl w:ilvl="4" w:tplc="9A402024">
      <w:numFmt w:val="decimal"/>
      <w:lvlText w:val=""/>
      <w:lvlJc w:val="left"/>
    </w:lvl>
    <w:lvl w:ilvl="5" w:tplc="6B9CCF52">
      <w:numFmt w:val="decimal"/>
      <w:lvlText w:val=""/>
      <w:lvlJc w:val="left"/>
    </w:lvl>
    <w:lvl w:ilvl="6" w:tplc="3B5236A8">
      <w:numFmt w:val="decimal"/>
      <w:lvlText w:val=""/>
      <w:lvlJc w:val="left"/>
    </w:lvl>
    <w:lvl w:ilvl="7" w:tplc="1978729A">
      <w:numFmt w:val="decimal"/>
      <w:lvlText w:val=""/>
      <w:lvlJc w:val="left"/>
    </w:lvl>
    <w:lvl w:ilvl="8" w:tplc="15D61486">
      <w:numFmt w:val="decimal"/>
      <w:lvlText w:val=""/>
      <w:lvlJc w:val="left"/>
    </w:lvl>
  </w:abstractNum>
  <w:abstractNum w:abstractNumId="1" w15:restartNumberingAfterBreak="0">
    <w:nsid w:val="08205E09"/>
    <w:multiLevelType w:val="multilevel"/>
    <w:tmpl w:val="85021D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1B73DF6"/>
    <w:multiLevelType w:val="multilevel"/>
    <w:tmpl w:val="AE1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47DB4"/>
    <w:multiLevelType w:val="hybridMultilevel"/>
    <w:tmpl w:val="FB9E9D9E"/>
    <w:lvl w:ilvl="0" w:tplc="5A840B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670F6"/>
    <w:multiLevelType w:val="multilevel"/>
    <w:tmpl w:val="DD16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55656"/>
    <w:multiLevelType w:val="hybridMultilevel"/>
    <w:tmpl w:val="A320B2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0B01DC"/>
    <w:multiLevelType w:val="hybridMultilevel"/>
    <w:tmpl w:val="3D06880E"/>
    <w:lvl w:ilvl="0" w:tplc="1848F93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85FBE"/>
    <w:multiLevelType w:val="hybridMultilevel"/>
    <w:tmpl w:val="93743F30"/>
    <w:lvl w:ilvl="0" w:tplc="515A4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FF256D"/>
    <w:multiLevelType w:val="multilevel"/>
    <w:tmpl w:val="BBBA4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44"/>
    <w:rsid w:val="0001107E"/>
    <w:rsid w:val="000165F7"/>
    <w:rsid w:val="00090394"/>
    <w:rsid w:val="000C2E11"/>
    <w:rsid w:val="00166C09"/>
    <w:rsid w:val="001D3067"/>
    <w:rsid w:val="001E7105"/>
    <w:rsid w:val="0022510B"/>
    <w:rsid w:val="00281CE6"/>
    <w:rsid w:val="002A49EB"/>
    <w:rsid w:val="002E6BED"/>
    <w:rsid w:val="00355895"/>
    <w:rsid w:val="003944FD"/>
    <w:rsid w:val="003953A7"/>
    <w:rsid w:val="003B238D"/>
    <w:rsid w:val="003C0E86"/>
    <w:rsid w:val="00400519"/>
    <w:rsid w:val="004A6DFE"/>
    <w:rsid w:val="004A7334"/>
    <w:rsid w:val="004D5F2D"/>
    <w:rsid w:val="004E685C"/>
    <w:rsid w:val="004F2BBF"/>
    <w:rsid w:val="00522047"/>
    <w:rsid w:val="00540383"/>
    <w:rsid w:val="00566F38"/>
    <w:rsid w:val="00583D79"/>
    <w:rsid w:val="005964C2"/>
    <w:rsid w:val="005B3F0A"/>
    <w:rsid w:val="005C0A50"/>
    <w:rsid w:val="005C104A"/>
    <w:rsid w:val="005F4F12"/>
    <w:rsid w:val="00632AF9"/>
    <w:rsid w:val="006743FC"/>
    <w:rsid w:val="006F3715"/>
    <w:rsid w:val="00700FA1"/>
    <w:rsid w:val="00706955"/>
    <w:rsid w:val="007164CD"/>
    <w:rsid w:val="00762E9B"/>
    <w:rsid w:val="007F42AD"/>
    <w:rsid w:val="00801D00"/>
    <w:rsid w:val="0081618C"/>
    <w:rsid w:val="0086584A"/>
    <w:rsid w:val="008775F0"/>
    <w:rsid w:val="00877633"/>
    <w:rsid w:val="0089675D"/>
    <w:rsid w:val="008A1B4C"/>
    <w:rsid w:val="008D182A"/>
    <w:rsid w:val="008D6DD4"/>
    <w:rsid w:val="00922AD2"/>
    <w:rsid w:val="009314EC"/>
    <w:rsid w:val="00957F5D"/>
    <w:rsid w:val="00993873"/>
    <w:rsid w:val="009B4CAB"/>
    <w:rsid w:val="00A143A3"/>
    <w:rsid w:val="00A14D47"/>
    <w:rsid w:val="00A216A5"/>
    <w:rsid w:val="00A27252"/>
    <w:rsid w:val="00A27998"/>
    <w:rsid w:val="00A3776B"/>
    <w:rsid w:val="00A74D05"/>
    <w:rsid w:val="00AC4F15"/>
    <w:rsid w:val="00B06535"/>
    <w:rsid w:val="00BF42A7"/>
    <w:rsid w:val="00C13150"/>
    <w:rsid w:val="00C23709"/>
    <w:rsid w:val="00C8450E"/>
    <w:rsid w:val="00CA39E1"/>
    <w:rsid w:val="00CB1CDC"/>
    <w:rsid w:val="00CD30FE"/>
    <w:rsid w:val="00D25223"/>
    <w:rsid w:val="00D43162"/>
    <w:rsid w:val="00DB5044"/>
    <w:rsid w:val="00DE6E55"/>
    <w:rsid w:val="00E22C85"/>
    <w:rsid w:val="00E923ED"/>
    <w:rsid w:val="00EE52B1"/>
    <w:rsid w:val="00F6452F"/>
    <w:rsid w:val="00F95E61"/>
    <w:rsid w:val="00F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D6C-FC3D-406F-BF31-B8378932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trike/>
        <w:sz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79"/>
    <w:rPr>
      <w: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3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0394"/>
    <w:pPr>
      <w:ind w:left="720"/>
      <w:contextualSpacing/>
    </w:pPr>
    <w:rPr>
      <w:rFonts w:asciiTheme="minorHAnsi" w:hAnsiTheme="minorHAnsi" w:cstheme="minorBidi"/>
      <w:b/>
      <w:sz w:val="22"/>
      <w:szCs w:val="22"/>
      <w:u w:val="none"/>
    </w:rPr>
  </w:style>
  <w:style w:type="table" w:styleId="a5">
    <w:name w:val="Table Grid"/>
    <w:basedOn w:val="a1"/>
    <w:uiPriority w:val="59"/>
    <w:rsid w:val="00C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AF9"/>
    <w:rPr>
      <w:rFonts w:ascii="Tahoma" w:hAnsi="Tahoma" w:cs="Tahoma"/>
      <w:strike w:val="0"/>
      <w:sz w:val="16"/>
      <w:szCs w:val="16"/>
    </w:rPr>
  </w:style>
  <w:style w:type="paragraph" w:styleId="a8">
    <w:name w:val="Normal (Web)"/>
    <w:basedOn w:val="a"/>
    <w:uiPriority w:val="99"/>
    <w:rsid w:val="008D6DD4"/>
    <w:pPr>
      <w:spacing w:before="100" w:beforeAutospacing="1" w:after="100" w:afterAutospacing="1" w:line="240" w:lineRule="auto"/>
    </w:pPr>
    <w:rPr>
      <w:rFonts w:eastAsia="Times New Roman"/>
      <w:b/>
      <w:sz w:val="24"/>
      <w:szCs w:val="24"/>
      <w:u w:val="none"/>
      <w:lang w:eastAsia="ru-RU"/>
    </w:rPr>
  </w:style>
  <w:style w:type="character" w:styleId="a9">
    <w:name w:val="FollowedHyperlink"/>
    <w:basedOn w:val="a0"/>
    <w:uiPriority w:val="99"/>
    <w:semiHidden/>
    <w:unhideWhenUsed/>
    <w:rsid w:val="0001107E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5"/>
    <w:rsid w:val="0089675D"/>
    <w:pPr>
      <w:spacing w:after="0" w:line="240" w:lineRule="auto"/>
    </w:pPr>
    <w:rPr>
      <w:rFonts w:eastAsia="Times New Roman"/>
      <w:strike w:val="0"/>
      <w:sz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89675D"/>
    <w:pPr>
      <w:spacing w:after="0" w:line="240" w:lineRule="auto"/>
    </w:pPr>
    <w:rPr>
      <w:rFonts w:eastAsia="Times New Roman"/>
      <w:strike w:val="0"/>
      <w:sz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l.ru/" TargetMode="External"/><Relationship Id="rId13" Type="http://schemas.openxmlformats.org/officeDocument/2006/relationships/hyperlink" Target="https://vip.1gl.ru/" TargetMode="External"/><Relationship Id="rId18" Type="http://schemas.openxmlformats.org/officeDocument/2006/relationships/hyperlink" Target="https://vip.1g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gl.ru/" TargetMode="External"/><Relationship Id="rId12" Type="http://schemas.openxmlformats.org/officeDocument/2006/relationships/hyperlink" Target="https://vip.1gl.ru/" TargetMode="External"/><Relationship Id="rId17" Type="http://schemas.openxmlformats.org/officeDocument/2006/relationships/hyperlink" Target="https://vip.1g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g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gl.ru/" TargetMode="External"/><Relationship Id="rId11" Type="http://schemas.openxmlformats.org/officeDocument/2006/relationships/hyperlink" Target="https://www.nalog.ru/rn77/about_fts/docs/7158511/" TargetMode="External"/><Relationship Id="rId5" Type="http://schemas.openxmlformats.org/officeDocument/2006/relationships/hyperlink" Target="https://vip.1gl.ru/" TargetMode="External"/><Relationship Id="rId15" Type="http://schemas.openxmlformats.org/officeDocument/2006/relationships/hyperlink" Target="https://vip.1gl.ru/" TargetMode="External"/><Relationship Id="rId10" Type="http://schemas.openxmlformats.org/officeDocument/2006/relationships/hyperlink" Target="https://vip.1gl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gl.ru/" TargetMode="External"/><Relationship Id="rId14" Type="http://schemas.openxmlformats.org/officeDocument/2006/relationships/hyperlink" Target="https://vip.1g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4915</Words>
  <Characters>28019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Ирина Николаевна</dc:creator>
  <cp:lastModifiedBy>Латарцев Иван Николаевич</cp:lastModifiedBy>
  <cp:revision>15</cp:revision>
  <cp:lastPrinted>2021-03-29T13:01:00Z</cp:lastPrinted>
  <dcterms:created xsi:type="dcterms:W3CDTF">2025-12-18T12:49:00Z</dcterms:created>
  <dcterms:modified xsi:type="dcterms:W3CDTF">2025-12-23T09:55:00Z</dcterms:modified>
</cp:coreProperties>
</file>