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______________ 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="00B00BAC">
        <w:rPr>
          <w:rFonts w:ascii="Times New Roman" w:hAnsi="Times New Roman" w:cs="Times New Roman"/>
          <w:color w:val="000099"/>
          <w:sz w:val="20"/>
          <w:szCs w:val="20"/>
        </w:rPr>
        <w:t>Приказ  от 20.09.2018 № 187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214EBB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на дополнительные услуги,</w:t>
      </w:r>
      <w:r w:rsidR="00214EB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оказываемые </w:t>
      </w:r>
      <w:r w:rsidR="00915562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филиалом </w:t>
      </w:r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50780E"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915562" w:rsidRDefault="00915562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bookmarkStart w:id="0" w:name="_GoBack"/>
      <w:bookmarkEnd w:id="0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в </w:t>
      </w:r>
      <w:proofErr w:type="spellStart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г</w:t>
      </w:r>
      <w:proofErr w:type="gramStart"/>
      <w:r w:rsidRPr="00915562"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  <w:r w:rsidR="00D51225">
        <w:rPr>
          <w:rFonts w:ascii="Times New Roman" w:hAnsi="Times New Roman" w:cs="Times New Roman"/>
          <w:b/>
          <w:color w:val="000099"/>
          <w:sz w:val="24"/>
          <w:szCs w:val="24"/>
        </w:rPr>
        <w:t>Н</w:t>
      </w:r>
      <w:proofErr w:type="gramEnd"/>
      <w:r w:rsidR="00D51225">
        <w:rPr>
          <w:rFonts w:ascii="Times New Roman" w:hAnsi="Times New Roman" w:cs="Times New Roman"/>
          <w:b/>
          <w:color w:val="000099"/>
          <w:sz w:val="24"/>
          <w:szCs w:val="24"/>
        </w:rPr>
        <w:t>альчике</w:t>
      </w:r>
      <w:proofErr w:type="spellEnd"/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BC33CD" w:rsidRDefault="00F67F81" w:rsidP="00F67F8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F159BA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 w:rsidR="00B00BAC">
        <w:rPr>
          <w:rFonts w:ascii="Times New Roman" w:hAnsi="Times New Roman" w:cs="Times New Roman"/>
          <w:b/>
          <w:color w:val="000099"/>
          <w:sz w:val="20"/>
          <w:szCs w:val="20"/>
        </w:rPr>
        <w:t>октября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gramEnd"/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6547" w:type="dxa"/>
          </w:tcPr>
          <w:p w:rsidR="00F67F81" w:rsidRPr="00DB0203" w:rsidRDefault="00DB0203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в реестр о конвертации в отношении ценных бумаг, подлежащих отдельному владельцу.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DB0203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2.3.Список зарегистрированных лиц, составленный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F67F81" w:rsidRPr="00BC33CD" w:rsidDel="00C404C5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2.13. Информация о лицах, поступившая от номинальных держателей для составления </w:t>
            </w:r>
            <w:r w:rsidR="007365C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списка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F67F81" w:rsidRPr="00BC33CD" w:rsidDel="00C404C5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F67F81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3D3405" w:rsidRPr="00BC33CD" w:rsidRDefault="003D3405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одного акционера, но не менее 15000,00 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CD2B9C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 </w:t>
            </w:r>
            <w:proofErr w:type="gramStart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CD2B9C" w:rsidRDefault="00B31D6A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F67F81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.1.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.2.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.3.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F67F8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.4.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.5.   -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.6.   –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 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.М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осквы)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F67F81" w:rsidRPr="00BC33CD" w:rsidTr="00DB020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F67F81" w:rsidRPr="00BC33CD" w:rsidTr="00DB0203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обязательствами,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отношении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типа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регистрационного журнала за период ведения реестра реестродержателем  (список операций в хронологическом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порядке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произведенных Регистратором с даты начала ведения реестра Эмитента до даты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25,00 за одну операцию, но не менее 1800,00 за формирование.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 количестве операций более 10 000 - по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соглашению сторон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  <w:proofErr w:type="gramEnd"/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размере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F67F81" w:rsidRPr="00BC33CD" w:rsidTr="00DB0203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3D34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F67F81" w:rsidRPr="00BC33CD" w:rsidRDefault="00F67F81" w:rsidP="00070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-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 указанном эмитентом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подготовке типового Устава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соответствии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F67F81" w:rsidRPr="00BC33CD" w:rsidRDefault="00A4440A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F67F81" w:rsidRPr="00BC33CD" w:rsidRDefault="00A4440A" w:rsidP="00A4440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96172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F67F81"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F67F81" w:rsidRPr="00BC33CD" w:rsidTr="00DB0203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81" w:rsidRPr="00A62F39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F81" w:rsidRPr="00BC33CD" w:rsidRDefault="00F67F81" w:rsidP="00DB0203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F67F81" w:rsidRPr="00BC33CD" w:rsidRDefault="00F67F81" w:rsidP="00DB0203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F81" w:rsidRPr="00BC33CD" w:rsidRDefault="00F67F81" w:rsidP="00DB0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 стоимость услуги не включает стоимость оплаты услуг за проведение операций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 командировочные расходы.</w:t>
            </w:r>
          </w:p>
          <w:p w:rsidR="00F67F81" w:rsidRPr="00BC33CD" w:rsidRDefault="00F67F81" w:rsidP="00DB0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F67F81" w:rsidRPr="00BC33CD" w:rsidTr="00DB020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 услуга оказывается при технической возможности. Регистратор имеет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F67F81" w:rsidRPr="00BC33CD" w:rsidRDefault="00F67F81" w:rsidP="00DB020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*** услуга оказывается при технической возможности и при условии подачи документов до 16.00 часов   текущего дня. Регистратор имеет       право отказать в </w:t>
            </w:r>
            <w:proofErr w:type="gramStart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предоставлении</w:t>
            </w:r>
            <w:proofErr w:type="gramEnd"/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услуги без указания причин.</w:t>
            </w:r>
          </w:p>
          <w:p w:rsidR="00F67F81" w:rsidRPr="00BC33CD" w:rsidRDefault="00F67F81" w:rsidP="00DB020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F67F81" w:rsidRPr="00BC33CD" w:rsidRDefault="00F67F81" w:rsidP="00F67F8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F67F81" w:rsidRPr="00BC33CD" w:rsidRDefault="00F67F81" w:rsidP="00F67F81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0C2861" w:rsidRPr="00BC33CD" w:rsidRDefault="00F67F81" w:rsidP="0041192C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</w:r>
      <w:proofErr w:type="gramStart"/>
      <w:r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</w:t>
      </w:r>
      <w:r w:rsidR="00143932" w:rsidRPr="00BC33CD">
        <w:rPr>
          <w:rFonts w:ascii="Times New Roman" w:hAnsi="Times New Roman" w:cs="Times New Roman"/>
          <w:color w:val="000099"/>
          <w:sz w:val="18"/>
          <w:szCs w:val="18"/>
        </w:rPr>
        <w:t xml:space="preserve"> Федерации.</w:t>
      </w:r>
      <w:proofErr w:type="gramEnd"/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03" w:rsidRDefault="00DB0203" w:rsidP="00C27ADF">
      <w:pPr>
        <w:spacing w:after="0" w:line="240" w:lineRule="auto"/>
      </w:pPr>
      <w:r>
        <w:separator/>
      </w:r>
    </w:p>
  </w:endnote>
  <w:end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DB0203" w:rsidRDefault="0027552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E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0203" w:rsidRPr="0041192C" w:rsidRDefault="00DB0203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03" w:rsidRDefault="00DB0203" w:rsidP="00C27ADF">
      <w:pPr>
        <w:spacing w:after="0" w:line="240" w:lineRule="auto"/>
      </w:pPr>
      <w:r>
        <w:separator/>
      </w:r>
    </w:p>
  </w:footnote>
  <w:footnote w:type="continuationSeparator" w:id="0">
    <w:p w:rsidR="00DB0203" w:rsidRDefault="00DB0203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3742B"/>
    <w:rsid w:val="00064614"/>
    <w:rsid w:val="00070C04"/>
    <w:rsid w:val="00082362"/>
    <w:rsid w:val="000933CB"/>
    <w:rsid w:val="00097A64"/>
    <w:rsid w:val="000C025F"/>
    <w:rsid w:val="000C2861"/>
    <w:rsid w:val="000E1BA4"/>
    <w:rsid w:val="000F6372"/>
    <w:rsid w:val="00106736"/>
    <w:rsid w:val="00143932"/>
    <w:rsid w:val="0016491A"/>
    <w:rsid w:val="00176467"/>
    <w:rsid w:val="001826AF"/>
    <w:rsid w:val="001A107F"/>
    <w:rsid w:val="001E5DE0"/>
    <w:rsid w:val="002144BD"/>
    <w:rsid w:val="00214EBB"/>
    <w:rsid w:val="00231D11"/>
    <w:rsid w:val="00267845"/>
    <w:rsid w:val="00275523"/>
    <w:rsid w:val="002A1A65"/>
    <w:rsid w:val="002A5976"/>
    <w:rsid w:val="002C21BD"/>
    <w:rsid w:val="002C25AE"/>
    <w:rsid w:val="002D49C9"/>
    <w:rsid w:val="002E6138"/>
    <w:rsid w:val="003007C8"/>
    <w:rsid w:val="00306D6B"/>
    <w:rsid w:val="0030749B"/>
    <w:rsid w:val="00311B12"/>
    <w:rsid w:val="00330B7A"/>
    <w:rsid w:val="003415A5"/>
    <w:rsid w:val="00363D0E"/>
    <w:rsid w:val="00370CE0"/>
    <w:rsid w:val="00382FAA"/>
    <w:rsid w:val="00393656"/>
    <w:rsid w:val="003A3B79"/>
    <w:rsid w:val="003B10D3"/>
    <w:rsid w:val="003B1776"/>
    <w:rsid w:val="003B6487"/>
    <w:rsid w:val="003D3405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4A6976"/>
    <w:rsid w:val="004E56A3"/>
    <w:rsid w:val="0050561D"/>
    <w:rsid w:val="0050780E"/>
    <w:rsid w:val="00511A2C"/>
    <w:rsid w:val="00545815"/>
    <w:rsid w:val="005518C7"/>
    <w:rsid w:val="00555914"/>
    <w:rsid w:val="005D6307"/>
    <w:rsid w:val="005F2F72"/>
    <w:rsid w:val="00605C30"/>
    <w:rsid w:val="006137D7"/>
    <w:rsid w:val="006451D2"/>
    <w:rsid w:val="00686F9F"/>
    <w:rsid w:val="006A6378"/>
    <w:rsid w:val="00735B90"/>
    <w:rsid w:val="007365C9"/>
    <w:rsid w:val="007416A1"/>
    <w:rsid w:val="007512F3"/>
    <w:rsid w:val="00771449"/>
    <w:rsid w:val="007824D1"/>
    <w:rsid w:val="007C6A0C"/>
    <w:rsid w:val="007F0785"/>
    <w:rsid w:val="008074D1"/>
    <w:rsid w:val="00832995"/>
    <w:rsid w:val="0083535D"/>
    <w:rsid w:val="008778CC"/>
    <w:rsid w:val="008B671A"/>
    <w:rsid w:val="008C7736"/>
    <w:rsid w:val="008D1E43"/>
    <w:rsid w:val="008E2FDF"/>
    <w:rsid w:val="008E6EE4"/>
    <w:rsid w:val="00915562"/>
    <w:rsid w:val="009357C5"/>
    <w:rsid w:val="00936CD7"/>
    <w:rsid w:val="00942B48"/>
    <w:rsid w:val="00946295"/>
    <w:rsid w:val="00952818"/>
    <w:rsid w:val="00960A39"/>
    <w:rsid w:val="0096172D"/>
    <w:rsid w:val="00987127"/>
    <w:rsid w:val="009B4F50"/>
    <w:rsid w:val="009C4B06"/>
    <w:rsid w:val="009E5B57"/>
    <w:rsid w:val="009F7897"/>
    <w:rsid w:val="00A07EC8"/>
    <w:rsid w:val="00A17A1A"/>
    <w:rsid w:val="00A423D4"/>
    <w:rsid w:val="00A4440A"/>
    <w:rsid w:val="00A478A0"/>
    <w:rsid w:val="00A633FD"/>
    <w:rsid w:val="00A8399C"/>
    <w:rsid w:val="00A84B3E"/>
    <w:rsid w:val="00A93672"/>
    <w:rsid w:val="00AA7128"/>
    <w:rsid w:val="00AD0B1A"/>
    <w:rsid w:val="00B00B84"/>
    <w:rsid w:val="00B00BAC"/>
    <w:rsid w:val="00B31D6A"/>
    <w:rsid w:val="00B500E8"/>
    <w:rsid w:val="00B56BDD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51225"/>
    <w:rsid w:val="00D8379A"/>
    <w:rsid w:val="00D84B06"/>
    <w:rsid w:val="00DB0203"/>
    <w:rsid w:val="00DB3BC5"/>
    <w:rsid w:val="00DD4EB4"/>
    <w:rsid w:val="00DE4973"/>
    <w:rsid w:val="00E0546E"/>
    <w:rsid w:val="00E2590C"/>
    <w:rsid w:val="00E53A9A"/>
    <w:rsid w:val="00F07C4E"/>
    <w:rsid w:val="00F1035E"/>
    <w:rsid w:val="00F15117"/>
    <w:rsid w:val="00F159BA"/>
    <w:rsid w:val="00F17070"/>
    <w:rsid w:val="00F40E5C"/>
    <w:rsid w:val="00F47C93"/>
    <w:rsid w:val="00F67F81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B5EE0-C3F6-415B-A7EB-25DC2BC5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6</cp:revision>
  <cp:lastPrinted>2018-01-09T12:04:00Z</cp:lastPrinted>
  <dcterms:created xsi:type="dcterms:W3CDTF">2018-09-20T15:28:00Z</dcterms:created>
  <dcterms:modified xsi:type="dcterms:W3CDTF">2018-09-21T08:39:00Z</dcterms:modified>
</cp:coreProperties>
</file>